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
        <w:gridCol w:w="2353"/>
        <w:gridCol w:w="11360"/>
      </w:tblGrid>
      <w:tr w14:paraId="027C2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3"/>
            <w:shd w:val="clear" w:color="auto" w:fill="auto"/>
            <w:vAlign w:val="center"/>
          </w:tcPr>
          <w:p w14:paraId="5F0E13B6">
            <w:pPr>
              <w:keepNext w:val="0"/>
              <w:keepLines w:val="0"/>
              <w:widowControl/>
              <w:suppressLineNumbers w:val="0"/>
              <w:spacing w:before="0" w:beforeAutospacing="0" w:after="0" w:afterAutospacing="0"/>
              <w:ind w:left="0" w:right="0"/>
              <w:jc w:val="center"/>
              <w:textAlignment w:val="center"/>
              <w:rPr>
                <w:rFonts w:hint="eastAsia" w:ascii="方正公文小标宋" w:hAnsi="方正公文小标宋" w:eastAsia="方正公文小标宋" w:cs="方正公文小标宋"/>
                <w:b w:val="0"/>
                <w:bCs w:val="0"/>
                <w:i w:val="0"/>
                <w:iCs w:val="0"/>
                <w:color w:val="000000"/>
                <w:kern w:val="0"/>
                <w:sz w:val="28"/>
                <w:szCs w:val="28"/>
                <w:u w:val="none"/>
                <w:lang w:val="en-US" w:eastAsia="zh-CN" w:bidi="ar"/>
              </w:rPr>
            </w:pPr>
            <w:r>
              <w:rPr>
                <w:rFonts w:hint="eastAsia" w:ascii="方正公文小标宋" w:hAnsi="方正公文小标宋" w:eastAsia="方正公文小标宋" w:cs="方正公文小标宋"/>
                <w:b w:val="0"/>
                <w:bCs w:val="0"/>
                <w:i w:val="0"/>
                <w:iCs w:val="0"/>
                <w:color w:val="000000"/>
                <w:kern w:val="0"/>
                <w:sz w:val="28"/>
                <w:szCs w:val="28"/>
                <w:u w:val="none"/>
                <w:lang w:val="en-US" w:eastAsia="zh-CN" w:bidi="ar"/>
              </w:rPr>
              <w:t>2026年度河北省高等学校科学研究（人文社会科学类）青年拔尖人才项目选题指南</w:t>
            </w:r>
          </w:p>
          <w:p w14:paraId="3AA33045">
            <w:pPr>
              <w:keepNext w:val="0"/>
              <w:keepLines w:val="0"/>
              <w:widowControl/>
              <w:suppressLineNumbers w:val="0"/>
              <w:spacing w:before="0" w:beforeAutospacing="0" w:after="0" w:afterAutospacing="0"/>
              <w:ind w:left="0" w:right="0"/>
              <w:jc w:val="both"/>
              <w:textAlignment w:val="center"/>
              <w:rPr>
                <w:rFonts w:hint="eastAsia" w:ascii="仿宋" w:hAnsi="仿宋" w:eastAsia="仿宋" w:cs="仿宋"/>
                <w:b/>
                <w:bCs/>
                <w:i w:val="0"/>
                <w:iCs w:val="0"/>
                <w:color w:val="000000"/>
                <w:kern w:val="0"/>
                <w:sz w:val="24"/>
                <w:szCs w:val="24"/>
                <w:u w:val="none"/>
                <w:lang w:val="en-US" w:eastAsia="zh-CN" w:bidi="ar"/>
              </w:rPr>
            </w:pPr>
            <w:bookmarkStart w:id="0" w:name="_GoBack"/>
            <w:bookmarkEnd w:id="0"/>
            <w:r>
              <w:rPr>
                <w:rFonts w:hint="eastAsia" w:ascii="方正公文小标宋" w:hAnsi="方正公文小标宋" w:eastAsia="方正公文小标宋" w:cs="方正公文小标宋"/>
                <w:b w:val="0"/>
                <w:bCs w:val="0"/>
                <w:i w:val="0"/>
                <w:iCs w:val="0"/>
                <w:color w:val="FF0000"/>
                <w:kern w:val="0"/>
                <w:sz w:val="28"/>
                <w:szCs w:val="28"/>
                <w:u w:val="none"/>
                <w:lang w:val="en-US" w:eastAsia="zh-CN" w:bidi="ar"/>
              </w:rPr>
              <w:t>须严格按照以下我校遴选指南的选题名称设计研究内容，不得自行拟定题目</w:t>
            </w:r>
          </w:p>
        </w:tc>
      </w:tr>
      <w:tr w14:paraId="3440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shd w:val="clear" w:color="auto" w:fill="auto"/>
            <w:vAlign w:val="center"/>
          </w:tcPr>
          <w:p w14:paraId="100DD09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2"/>
                <w:sz w:val="24"/>
                <w:szCs w:val="24"/>
                <w:u w:val="none"/>
                <w:lang w:val="en-US" w:eastAsia="zh-CN" w:bidi="ar-SA"/>
              </w:rPr>
            </w:pPr>
            <w:r>
              <w:rPr>
                <w:rFonts w:hint="eastAsia" w:ascii="仿宋" w:hAnsi="仿宋" w:eastAsia="仿宋" w:cs="仿宋"/>
                <w:b/>
                <w:bCs/>
                <w:i w:val="0"/>
                <w:iCs w:val="0"/>
                <w:color w:val="000000"/>
                <w:kern w:val="0"/>
                <w:sz w:val="24"/>
                <w:szCs w:val="24"/>
                <w:u w:val="none"/>
                <w:lang w:val="en-US" w:eastAsia="zh-CN" w:bidi="ar"/>
              </w:rPr>
              <w:t>序号</w:t>
            </w:r>
          </w:p>
        </w:tc>
        <w:tc>
          <w:tcPr>
            <w:tcW w:w="2352" w:type="dxa"/>
            <w:shd w:val="clear" w:color="auto" w:fill="auto"/>
            <w:vAlign w:val="center"/>
          </w:tcPr>
          <w:p w14:paraId="0118D2F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2"/>
                <w:sz w:val="24"/>
                <w:szCs w:val="24"/>
                <w:u w:val="none"/>
                <w:lang w:val="en-US" w:eastAsia="zh-CN" w:bidi="ar-SA"/>
              </w:rPr>
            </w:pPr>
            <w:r>
              <w:rPr>
                <w:rFonts w:hint="eastAsia" w:ascii="仿宋" w:hAnsi="仿宋" w:eastAsia="仿宋" w:cs="仿宋"/>
                <w:b/>
                <w:bCs/>
                <w:i w:val="0"/>
                <w:iCs w:val="0"/>
                <w:color w:val="000000"/>
                <w:kern w:val="0"/>
                <w:sz w:val="24"/>
                <w:szCs w:val="24"/>
                <w:u w:val="none"/>
                <w:lang w:val="en-US" w:eastAsia="zh-CN" w:bidi="ar"/>
              </w:rPr>
              <w:t>选题名称</w:t>
            </w:r>
          </w:p>
        </w:tc>
        <w:tc>
          <w:tcPr>
            <w:tcW w:w="11352" w:type="dxa"/>
            <w:shd w:val="clear" w:color="auto" w:fill="auto"/>
            <w:vAlign w:val="center"/>
          </w:tcPr>
          <w:p w14:paraId="1674090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000000"/>
                <w:kern w:val="2"/>
                <w:sz w:val="24"/>
                <w:szCs w:val="24"/>
                <w:u w:val="none"/>
                <w:lang w:val="en-US" w:eastAsia="zh-CN" w:bidi="ar-SA"/>
              </w:rPr>
            </w:pPr>
            <w:r>
              <w:rPr>
                <w:rFonts w:hint="eastAsia" w:ascii="仿宋" w:hAnsi="仿宋" w:eastAsia="仿宋" w:cs="仿宋"/>
                <w:b/>
                <w:bCs/>
                <w:i w:val="0"/>
                <w:iCs w:val="0"/>
                <w:color w:val="000000"/>
                <w:kern w:val="0"/>
                <w:sz w:val="24"/>
                <w:szCs w:val="24"/>
                <w:u w:val="none"/>
                <w:lang w:val="en-US" w:eastAsia="zh-CN" w:bidi="ar"/>
              </w:rPr>
              <w:t>选题说明（选题的必要性、可行性、创新性、科学性及预期成果等）</w:t>
            </w:r>
          </w:p>
        </w:tc>
      </w:tr>
      <w:tr w14:paraId="43F6A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shd w:val="clear" w:color="auto" w:fill="auto"/>
            <w:vAlign w:val="center"/>
          </w:tcPr>
          <w:p w14:paraId="6389067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w:t>
            </w:r>
          </w:p>
        </w:tc>
        <w:tc>
          <w:tcPr>
            <w:tcW w:w="2352" w:type="dxa"/>
            <w:shd w:val="clear" w:color="auto" w:fill="auto"/>
            <w:vAlign w:val="center"/>
          </w:tcPr>
          <w:p w14:paraId="64C28E1F">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河北文化新质生产力的发展路径研究</w:t>
            </w:r>
          </w:p>
        </w:tc>
        <w:tc>
          <w:tcPr>
            <w:tcW w:w="11352" w:type="dxa"/>
            <w:shd w:val="clear" w:color="auto" w:fill="auto"/>
            <w:vAlign w:val="top"/>
          </w:tcPr>
          <w:p w14:paraId="658CF7B6">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河北拥有丰富的文化资源，立足新时期新形势，亟需突破传统文化发展模式瓶颈，更好地满足人民多样化、多层次、多方面的精神文化需求。通过对文化新质生产力的多维度研究，分析文化新质生产力的内涵，系统阐述河北文化新质生产力发展现状、机制与路径。为河北省加快培育和发展文化新质生产力建设提出切实可行的政策建议和举措。</w:t>
            </w:r>
          </w:p>
        </w:tc>
      </w:tr>
      <w:tr w14:paraId="1C5B1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shd w:val="clear" w:color="auto" w:fill="auto"/>
            <w:vAlign w:val="center"/>
          </w:tcPr>
          <w:p w14:paraId="0F4FC3C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2</w:t>
            </w:r>
          </w:p>
        </w:tc>
        <w:tc>
          <w:tcPr>
            <w:tcW w:w="2352" w:type="dxa"/>
            <w:shd w:val="clear" w:color="auto" w:fill="auto"/>
            <w:vAlign w:val="center"/>
          </w:tcPr>
          <w:p w14:paraId="7E2F5CF4">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自滋增长：数字经济时代产业结构升级的动力机制与实现路径</w:t>
            </w:r>
          </w:p>
        </w:tc>
        <w:tc>
          <w:tcPr>
            <w:tcW w:w="11352" w:type="dxa"/>
            <w:shd w:val="clear" w:color="auto" w:fill="auto"/>
            <w:vAlign w:val="top"/>
          </w:tcPr>
          <w:p w14:paraId="0CFC7557">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健全促进实体经济和数字经济深度融合制度，充分发挥数据要素作用至关重要。本研究聚焦数字经济的“自滋增长”，即数据要素凭借其可复制、非竞争及网络效应等独特属性，展现出边际报酬递增或非递减潜力，突破传统要素约束，驱动形成价值内生、循环累积并能自我加速的增长新范式。核心问题是：（1）“自滋增长”如何响应国家推动高质量发展的战略需求，构成驱动产业结构升级的内在动力机制？其作用机理和传导路径为何？（2）如何设计有效的实现路径，充分释放数据驱动产业结构升级的潜能？本研究立足经济增长理论与产业组织理论的交叉视角，运用理论建模与实证分析相结合的方法，为服务国家战略决策提供科学依据与实践指引。</w:t>
            </w:r>
          </w:p>
        </w:tc>
      </w:tr>
      <w:tr w14:paraId="6049D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shd w:val="clear" w:color="auto" w:fill="auto"/>
            <w:vAlign w:val="center"/>
          </w:tcPr>
          <w:p w14:paraId="26C4749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3</w:t>
            </w:r>
          </w:p>
        </w:tc>
        <w:tc>
          <w:tcPr>
            <w:tcW w:w="2352" w:type="dxa"/>
            <w:shd w:val="clear" w:color="auto" w:fill="auto"/>
            <w:vAlign w:val="center"/>
          </w:tcPr>
          <w:p w14:paraId="33D0A628">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动态过程视角下AI认知对企业双元绿色创新的实现路径研究</w:t>
            </w:r>
          </w:p>
        </w:tc>
        <w:tc>
          <w:tcPr>
            <w:tcW w:w="11352" w:type="dxa"/>
            <w:shd w:val="clear" w:color="auto" w:fill="auto"/>
            <w:vAlign w:val="top"/>
          </w:tcPr>
          <w:p w14:paraId="13605090">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绿色创新是企业实现高质量发展所关注的焦点，且符合国家重大战略需求。然而，如何应用AI实现绿色创新是企业所面临的热点和难点问题。现有理论研究主要关注了静态视角下企业层面AI对绿色创新的作用，忽视了动态过程视角下个体层面AI的作用。因此，项目拟通过理论分析并实证检验动态过程视角下AI认知对双元绿色创新的作用机制。具体而言，基于高阶梯队理论，项目拟将AI认知划分为AI建构认知、AI捆绑认知和AI撬动认知这三个维度，并进行测度。基于此，项目拟探讨不同维度的AI认知分别对探索式和利用式绿色创新的影响，并通过高管信息技术背景、高管AI素养和绿色组织文化界定该影响的边界。更进一步地，项目拟通过绿色吸收能力、绿色资源整合能力和绿色动态能力分别揭示不同维度的AI认知对探索式和利用式绿色创新影响的内在机理。项目将丰富AI和企业绿色创新的相关研究，为企业经营和政策制定提供指导。本研究预期成果形成企业在绿色创新中应用人工智能的调研报告1份，发表企业实现绿色创新的核心期刊论文1篇。</w:t>
            </w:r>
          </w:p>
        </w:tc>
      </w:tr>
      <w:tr w14:paraId="05EB8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shd w:val="clear" w:color="auto" w:fill="auto"/>
            <w:vAlign w:val="center"/>
          </w:tcPr>
          <w:p w14:paraId="1368C84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4</w:t>
            </w:r>
          </w:p>
        </w:tc>
        <w:tc>
          <w:tcPr>
            <w:tcW w:w="2352" w:type="dxa"/>
            <w:shd w:val="clear" w:color="auto" w:fill="auto"/>
            <w:vAlign w:val="center"/>
          </w:tcPr>
          <w:p w14:paraId="37BA271A">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全球教育治理中的南方话语建构</w:t>
            </w:r>
          </w:p>
        </w:tc>
        <w:tc>
          <w:tcPr>
            <w:tcW w:w="11352" w:type="dxa"/>
            <w:shd w:val="clear" w:color="auto" w:fill="auto"/>
            <w:vAlign w:val="top"/>
          </w:tcPr>
          <w:p w14:paraId="64FA4734">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在全球教育治理体系中，长期以来以发达国家为主导的“北方话语”占据主流，主导教育议程制定、评估标准与知识生产，导致发展中国家的教育经验与本土诉求被边缘化。随着全球南方国家的集体崛起及多极化趋势加深，南方国家日益重视在全球教育治理中的话语权，积极通过区域合作、本土教育政策创新等路径构建具有自主性与代表性的教育话语体系。</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本选题具有显著的理论与现实意义：一方面填补了国际教育治理研究中对“南方主体性”关注不足的空白；另一方面契合中国在教育外交和全球教育公平领域的话语塑造战略。通过对本选题开展研究有助于系统梳理南方国家在全球教育议程中的话语实践与建构路径，揭示其话语形成的动力机制与制度障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本研究具有较强的可行性和科学性，既可丰富全球治理与教育研究的理论框架，也可为我国提升教育话语影响力提供现实参考。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预期成果包括论文、著作、对策建议报告等，服务于中国参与全球教育治理的政策制定与理论输出。</w:t>
            </w:r>
          </w:p>
        </w:tc>
      </w:tr>
      <w:tr w14:paraId="0C96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shd w:val="clear" w:color="auto" w:fill="auto"/>
            <w:vAlign w:val="center"/>
          </w:tcPr>
          <w:p w14:paraId="1484948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5</w:t>
            </w:r>
          </w:p>
        </w:tc>
        <w:tc>
          <w:tcPr>
            <w:tcW w:w="2352" w:type="dxa"/>
            <w:shd w:val="clear" w:color="auto" w:fill="auto"/>
            <w:vAlign w:val="center"/>
          </w:tcPr>
          <w:p w14:paraId="56B3591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网上思想道德教育分众化、精准化实施机制</w:t>
            </w:r>
          </w:p>
        </w:tc>
        <w:tc>
          <w:tcPr>
            <w:tcW w:w="11352" w:type="dxa"/>
            <w:shd w:val="clear" w:color="auto" w:fill="auto"/>
            <w:vAlign w:val="top"/>
          </w:tcPr>
          <w:p w14:paraId="2D1D7ED7">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2024年党的二十届三中全会通过《中共中央关于进一步全面深化改革 推进中国式现代化的决定》，明确提出要“加快形成网上思想道德教育分众化、精准化实施机制”，故而深入探讨这一实施机制的理论内涵与实践路径具有政策上的必要性和学理上的可行性。可能的创新之处在于：如何利用数智技术、生成式人工智能技术等推动这一实施机制的实现和运行；或是创新提出该实施机制的实现路径。科学性而言，本选题既有国家政策层面的推动，又有学界对精准化思政、分众化教育的研究做基础，可进一步在学科融合的基础上继续深化该研究。预期成果可为专著、学术论文、咨政报告等。</w:t>
            </w:r>
          </w:p>
        </w:tc>
      </w:tr>
      <w:tr w14:paraId="32AC1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shd w:val="clear" w:color="auto" w:fill="auto"/>
            <w:vAlign w:val="center"/>
          </w:tcPr>
          <w:p w14:paraId="560ACF0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6</w:t>
            </w:r>
          </w:p>
        </w:tc>
        <w:tc>
          <w:tcPr>
            <w:tcW w:w="2352" w:type="dxa"/>
            <w:shd w:val="clear" w:color="auto" w:fill="auto"/>
            <w:vAlign w:val="center"/>
          </w:tcPr>
          <w:p w14:paraId="17629271">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数智时代社会思潮的新动向、新特点与有效治理</w:t>
            </w:r>
          </w:p>
        </w:tc>
        <w:tc>
          <w:tcPr>
            <w:tcW w:w="11352" w:type="dxa"/>
            <w:shd w:val="clear" w:color="auto" w:fill="auto"/>
            <w:vAlign w:val="top"/>
          </w:tcPr>
          <w:p w14:paraId="75D5DD93">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社会思潮是一定时期内人们心理特征和态度价值观的有力反映，社会思潮随时代变化而不断呈现出新面貌、新特征和新动向。数智技术的发展也为社会思潮的演进和变化提供了助益，因而有必要深入探究当前社会思潮的新变化。可能的创新性在于从话语叙事、演变特点、最新特征等方面做出深入和全面的总结，并提出创新性的应对策略；也可只针对某一个特定的社会思潮展开深入、系统的分析。科学性而言，本选题既是洞悉时代变化、感知社会思潮变与不变辩证关系的必须，也有助于借助科学的理论深化对社会思潮的认识。预期成果可为专著、学术论文、研究报告、咨政报告等。</w:t>
            </w:r>
          </w:p>
        </w:tc>
      </w:tr>
      <w:tr w14:paraId="59FA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shd w:val="clear" w:color="auto" w:fill="auto"/>
            <w:vAlign w:val="center"/>
          </w:tcPr>
          <w:p w14:paraId="0314F16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7</w:t>
            </w:r>
          </w:p>
        </w:tc>
        <w:tc>
          <w:tcPr>
            <w:tcW w:w="2352" w:type="dxa"/>
            <w:shd w:val="clear" w:color="auto" w:fill="auto"/>
            <w:vAlign w:val="center"/>
          </w:tcPr>
          <w:p w14:paraId="6BEC12F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长城传统雕刻艺术（河北段）传承谱系及数字化保护研究</w:t>
            </w:r>
          </w:p>
        </w:tc>
        <w:tc>
          <w:tcPr>
            <w:tcW w:w="11352" w:type="dxa"/>
            <w:shd w:val="clear" w:color="auto" w:fill="auto"/>
            <w:vAlign w:val="top"/>
          </w:tcPr>
          <w:p w14:paraId="0830A654">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 xml:space="preserve">一、选题必要性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本选题以长城雕刻艺术为切入点阐释中华文明标识，对长城（河北段）雕刻艺术现状进行实地调研，以期用数字化赋能雕刻艺术“活态传承”，助力“长城精神”的时代传播。</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二、可行性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1.资源支撑完善：河北地质大学长城研究院提供学术指导；金山岭、山海关等核心展示园可开放雕刻遗存实地调研。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2.团队交叉协作：课题组整合数字人文、艺术史学、文物保护等多学科背景，依托无人机和高清数码相机等工具，实现高精度数据采集。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三、创新性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 研究视角创新：聚焦“雕刻艺术传承谱系”，突破传统长城研究重建筑本体、轻装饰艺术的局限，结合口述史与文献考据，构建作品谱系图。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 技术融合创新：引开发雕刻艺术动态展示平台，实现纹饰演化模拟与交互式知识图谱。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四、科学性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 方法论严谨：遵循“文献研究→田野调查→数字建档”三个阶段框架，选取河北山海关、金山岭、大境门三大典型区段，分层抽样雕刻遗存样本。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 数据可靠：采用标准化采集流程，确保雕刻纹饰信息保真。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 理论支撑：坚持文化遗产“真实性、完整性”原则，衔接长城国家文化公园“保护传承工程”政策目标。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五、预期成果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1.发表核心期刊论文1-2篇。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2.构建“河北长城雕刻艺术数字档案库”。 </w:t>
            </w:r>
          </w:p>
        </w:tc>
      </w:tr>
      <w:tr w14:paraId="4D214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shd w:val="clear" w:color="auto" w:fill="auto"/>
            <w:vAlign w:val="center"/>
          </w:tcPr>
          <w:p w14:paraId="7185163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8</w:t>
            </w:r>
          </w:p>
        </w:tc>
        <w:tc>
          <w:tcPr>
            <w:tcW w:w="2352" w:type="dxa"/>
            <w:shd w:val="clear" w:color="auto" w:fill="auto"/>
            <w:vAlign w:val="center"/>
          </w:tcPr>
          <w:p w14:paraId="5B043AF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人智协同视阈下外语学习者学术写作行为模式研究</w:t>
            </w:r>
          </w:p>
        </w:tc>
        <w:tc>
          <w:tcPr>
            <w:tcW w:w="11352" w:type="dxa"/>
            <w:shd w:val="clear" w:color="auto" w:fill="auto"/>
            <w:vAlign w:val="top"/>
          </w:tcPr>
          <w:p w14:paraId="72D095E0">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b/>
                <w:bCs/>
                <w:i w:val="0"/>
                <w:iCs w:val="0"/>
                <w:color w:val="000000"/>
                <w:kern w:val="2"/>
                <w:sz w:val="24"/>
                <w:szCs w:val="24"/>
                <w:u w:val="none"/>
                <w:lang w:val="en-US" w:eastAsia="zh-CN" w:bidi="ar-SA"/>
              </w:rPr>
            </w:pPr>
            <w:r>
              <w:rPr>
                <w:rFonts w:hint="eastAsia" w:ascii="仿宋" w:hAnsi="仿宋" w:eastAsia="仿宋" w:cs="仿宋"/>
                <w:b/>
                <w:bCs/>
                <w:i w:val="0"/>
                <w:iCs w:val="0"/>
                <w:color w:val="000000"/>
                <w:kern w:val="0"/>
                <w:sz w:val="24"/>
                <w:szCs w:val="24"/>
                <w:u w:val="none"/>
                <w:lang w:val="en-US" w:eastAsia="zh-CN" w:bidi="ar"/>
              </w:rPr>
              <w:t>必要性</w:t>
            </w:r>
            <w:r>
              <w:rPr>
                <w:rFonts w:hint="eastAsia" w:ascii="仿宋" w:hAnsi="仿宋" w:eastAsia="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随着生成式人工智能（</w:t>
            </w:r>
            <w:r>
              <w:rPr>
                <w:rStyle w:val="8"/>
                <w:rFonts w:hint="eastAsia" w:ascii="仿宋" w:hAnsi="仿宋" w:eastAsia="仿宋" w:cs="仿宋"/>
                <w:sz w:val="24"/>
                <w:szCs w:val="24"/>
                <w:lang w:val="en-US" w:eastAsia="zh-CN" w:bidi="ar"/>
              </w:rPr>
              <w:t>GAI</w:t>
            </w:r>
            <w:r>
              <w:rPr>
                <w:rFonts w:hint="eastAsia" w:ascii="仿宋" w:hAnsi="仿宋" w:eastAsia="仿宋" w:cs="仿宋"/>
                <w:i w:val="0"/>
                <w:iCs w:val="0"/>
                <w:color w:val="000000"/>
                <w:kern w:val="0"/>
                <w:sz w:val="24"/>
                <w:szCs w:val="24"/>
                <w:u w:val="none"/>
                <w:lang w:val="en-US" w:eastAsia="zh-CN" w:bidi="ar"/>
              </w:rPr>
              <w:t>）技术的快速发展，人智协同模式正深刻重塑外语学术写作的教学与学习生态。然而，现有研究多聚焦技术应用效能，对学习者与AI交互的行为模式、认知机制及干预策略缺乏系统性探讨，导致技术赋能教育的潜力未能充分释放。河北省高校外语学习者普遍面临学术写作能力不足、AI工具使用表层化等问题，亟需通过实证研究揭示人机协同的行为规律，开发精准干预方案，以服务区域外语教育智能化转型需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b/>
                <w:bCs/>
                <w:i w:val="0"/>
                <w:iCs w:val="0"/>
                <w:color w:val="000000"/>
                <w:kern w:val="0"/>
                <w:sz w:val="24"/>
                <w:szCs w:val="24"/>
                <w:u w:val="none"/>
                <w:lang w:val="en-US" w:eastAsia="zh-CN" w:bidi="ar"/>
              </w:rPr>
              <w:t>可行性</w:t>
            </w:r>
            <w:r>
              <w:rPr>
                <w:rFonts w:hint="eastAsia" w:ascii="仿宋" w:hAnsi="仿宋" w:eastAsia="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本选题依托扎实的前期基础，课题组已对河北省6所高校开展先导研究，积累200余份样本数据，并构建“技术-教学-学习者”三维评估框架。研究团队跨学科优势显著，涵盖英语教育、教育技术学及心理学领域专家，拥有眼动追踪仪、多模态数据采集系统等实验设备支持。研究设计采用“行为诊断-机制解析-干预验证”三阶循环范式，结合机器学习算法与实证分析，方法科学、路径清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b/>
                <w:bCs/>
                <w:i w:val="0"/>
                <w:iCs w:val="0"/>
                <w:color w:val="000000"/>
                <w:kern w:val="0"/>
                <w:sz w:val="24"/>
                <w:szCs w:val="24"/>
                <w:u w:val="none"/>
                <w:lang w:val="en-US" w:eastAsia="zh-CN" w:bidi="ar"/>
              </w:rPr>
              <w:t>创新性</w:t>
            </w:r>
            <w:r>
              <w:rPr>
                <w:rFonts w:hint="eastAsia" w:ascii="仿宋" w:hAnsi="仿宋" w:eastAsia="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理论创新：提出“行为特征-影响机制-干预策略”三维人机协同写作理论框架，突破传统静态分析局限；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方法创新：融合眼动追踪、日志分析等多模态数据与隐马尔可夫模型等算法，实现写作行为的动态捕捉与量化解析；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实践创新：开发“技术-能力-伦理”分层干预工具包，针对性解决区域高校差异性问题。</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b/>
                <w:bCs/>
                <w:i w:val="0"/>
                <w:iCs w:val="0"/>
                <w:color w:val="000000"/>
                <w:kern w:val="0"/>
                <w:sz w:val="24"/>
                <w:szCs w:val="24"/>
                <w:u w:val="none"/>
                <w:lang w:val="en-US" w:eastAsia="zh-CN" w:bidi="ar"/>
              </w:rPr>
              <w:t>科学性</w:t>
            </w:r>
            <w:r>
              <w:rPr>
                <w:rFonts w:hint="eastAsia" w:ascii="仿宋" w:hAnsi="仿宋" w:eastAsia="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研究遵循“问题驱动-数据实证-理论建模-实践验证”的逻辑链，通过德尔菲专家评议、三角验证法及准实验设计确保结论可靠性。采用纵向追踪与横向对比相结合的策略，增强研究的普适性与生态效度。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b/>
                <w:bCs/>
                <w:i w:val="0"/>
                <w:iCs w:val="0"/>
                <w:color w:val="000000"/>
                <w:kern w:val="0"/>
                <w:sz w:val="24"/>
                <w:szCs w:val="24"/>
                <w:u w:val="none"/>
                <w:lang w:val="en-US" w:eastAsia="zh-CN" w:bidi="ar"/>
              </w:rPr>
              <w:t>预期成果</w:t>
            </w:r>
            <w:r>
              <w:rPr>
                <w:rFonts w:hint="eastAsia" w:ascii="仿宋" w:hAnsi="仿宋" w:eastAsia="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构建河北省外语学习者人机协同写作行为数据库，发表</w:t>
            </w:r>
            <w:r>
              <w:rPr>
                <w:rStyle w:val="8"/>
                <w:rFonts w:hint="eastAsia" w:ascii="仿宋" w:hAnsi="仿宋" w:eastAsia="仿宋" w:cs="仿宋"/>
                <w:sz w:val="24"/>
                <w:szCs w:val="24"/>
                <w:lang w:val="en-US" w:eastAsia="zh-CN" w:bidi="ar"/>
              </w:rPr>
              <w:t>SSCI/CSSCI</w:t>
            </w:r>
            <w:r>
              <w:rPr>
                <w:rFonts w:hint="eastAsia" w:ascii="仿宋" w:hAnsi="仿宋" w:eastAsia="仿宋" w:cs="仿宋"/>
                <w:i w:val="0"/>
                <w:iCs w:val="0"/>
                <w:color w:val="000000"/>
                <w:kern w:val="0"/>
                <w:sz w:val="24"/>
                <w:szCs w:val="24"/>
                <w:u w:val="none"/>
                <w:lang w:val="en-US" w:eastAsia="zh-CN" w:bidi="ar"/>
              </w:rPr>
              <w:t>论文1-2篇；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出版学术专著1部，编制《人机协同学术写作教学指南》供政策参考；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开发“</w:t>
            </w:r>
            <w:r>
              <w:rPr>
                <w:rStyle w:val="8"/>
                <w:rFonts w:hint="eastAsia" w:ascii="仿宋" w:hAnsi="仿宋" w:eastAsia="仿宋" w:cs="仿宋"/>
                <w:sz w:val="24"/>
                <w:szCs w:val="24"/>
                <w:lang w:val="en-US" w:eastAsia="zh-CN" w:bidi="ar"/>
              </w:rPr>
              <w:t>AI</w:t>
            </w:r>
            <w:r>
              <w:rPr>
                <w:rFonts w:hint="eastAsia" w:ascii="仿宋" w:hAnsi="仿宋" w:eastAsia="仿宋" w:cs="仿宋"/>
                <w:i w:val="0"/>
                <w:iCs w:val="0"/>
                <w:color w:val="000000"/>
                <w:kern w:val="0"/>
                <w:sz w:val="24"/>
                <w:szCs w:val="24"/>
                <w:u w:val="none"/>
                <w:lang w:val="en-US" w:eastAsia="zh-CN" w:bidi="ar"/>
              </w:rPr>
              <w:t>写作导师”培训课程，在省内高校示范应用，助力外语教育质量提升。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本选题紧扣教育智能化国家战略，兼具理论价值与实践意义，有望为外语学术写作研究范式转型提供新路径，并为区域人才培养提供科学方案。</w:t>
            </w:r>
          </w:p>
        </w:tc>
      </w:tr>
      <w:tr w14:paraId="73DB2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shd w:val="clear" w:color="auto" w:fill="auto"/>
            <w:vAlign w:val="center"/>
          </w:tcPr>
          <w:p w14:paraId="4CEA90A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9</w:t>
            </w:r>
          </w:p>
        </w:tc>
        <w:tc>
          <w:tcPr>
            <w:tcW w:w="2352" w:type="dxa"/>
            <w:shd w:val="clear" w:color="auto" w:fill="auto"/>
            <w:vAlign w:val="center"/>
          </w:tcPr>
          <w:p w14:paraId="5AC5AD04">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河北现当代小说的图像呈现研究</w:t>
            </w:r>
          </w:p>
        </w:tc>
        <w:tc>
          <w:tcPr>
            <w:tcW w:w="11352" w:type="dxa"/>
            <w:shd w:val="clear" w:color="auto" w:fill="auto"/>
            <w:vAlign w:val="top"/>
          </w:tcPr>
          <w:p w14:paraId="1BD4343C">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b/>
                <w:bCs/>
                <w:i w:val="0"/>
                <w:iCs w:val="0"/>
                <w:color w:val="000000"/>
                <w:kern w:val="2"/>
                <w:sz w:val="24"/>
                <w:szCs w:val="24"/>
                <w:u w:val="none"/>
                <w:lang w:val="en-US" w:eastAsia="zh-CN" w:bidi="ar-SA"/>
              </w:rPr>
            </w:pPr>
            <w:r>
              <w:rPr>
                <w:rFonts w:hint="eastAsia" w:ascii="仿宋" w:hAnsi="仿宋" w:eastAsia="仿宋" w:cs="仿宋"/>
                <w:b/>
                <w:bCs/>
                <w:i w:val="0"/>
                <w:iCs w:val="0"/>
                <w:color w:val="000000"/>
                <w:kern w:val="0"/>
                <w:sz w:val="24"/>
                <w:szCs w:val="24"/>
                <w:u w:val="none"/>
                <w:lang w:val="en-US" w:eastAsia="zh-CN" w:bidi="ar"/>
              </w:rPr>
              <w:t>必要性：</w:t>
            </w:r>
            <w:r>
              <w:rPr>
                <w:rFonts w:hint="eastAsia" w:ascii="仿宋" w:hAnsi="仿宋" w:eastAsia="仿宋" w:cs="仿宋"/>
                <w:i w:val="0"/>
                <w:iCs w:val="0"/>
                <w:color w:val="000000"/>
                <w:kern w:val="0"/>
                <w:sz w:val="24"/>
                <w:szCs w:val="24"/>
                <w:u w:val="none"/>
                <w:lang w:val="en-US" w:eastAsia="zh-CN" w:bidi="ar"/>
              </w:rPr>
              <w:t xml:space="preserve">河北现当代小说蕴含丰富的地域文化符号与独特美学基因，对其图像呈现的系统研究近乎空白。图像时代的来临，跨媒介转译与视觉传播是激活经典文学当代生命力、增强地域文学影响力的关键路径。选题旨在填补河北现当代文学图像研究的空白，呼应“文学与图像”前沿议题，为地域文学研究提供新视角，同时丰富文化传播形式，助力新质生产力赋能文化产业升级。                                                                                                                        </w:t>
            </w:r>
            <w:r>
              <w:rPr>
                <w:rFonts w:hint="eastAsia" w:ascii="仿宋" w:hAnsi="仿宋" w:eastAsia="仿宋" w:cs="仿宋"/>
                <w:b/>
                <w:bCs/>
                <w:i w:val="0"/>
                <w:iCs w:val="0"/>
                <w:color w:val="000000"/>
                <w:kern w:val="0"/>
                <w:sz w:val="24"/>
                <w:szCs w:val="24"/>
                <w:u w:val="none"/>
                <w:lang w:val="en-US" w:eastAsia="zh-CN" w:bidi="ar"/>
              </w:rPr>
              <w:t>可行性：</w:t>
            </w:r>
            <w:r>
              <w:rPr>
                <w:rFonts w:hint="eastAsia" w:ascii="仿宋" w:hAnsi="仿宋" w:eastAsia="仿宋" w:cs="仿宋"/>
                <w:i w:val="0"/>
                <w:iCs w:val="0"/>
                <w:color w:val="000000"/>
                <w:kern w:val="0"/>
                <w:sz w:val="24"/>
                <w:szCs w:val="24"/>
                <w:u w:val="none"/>
                <w:lang w:val="en-US" w:eastAsia="zh-CN" w:bidi="ar"/>
              </w:rPr>
              <w:t xml:space="preserve">河北现当代小说文本基础扎实，且存在具有代表性的丰富图像样本（如《红旗谱》《小兵张嘎》《哦，香雪》等文学作品的连环画、影视资源、新媒体创作等）；同时，图像学、符号学、语言学等为课题提供方法论支撑，研究者可通过文本分析、图像比对、案例调研完成研究，具备现实操作基础。                                                                  </w:t>
            </w:r>
            <w:r>
              <w:rPr>
                <w:rFonts w:hint="eastAsia" w:ascii="仿宋" w:hAnsi="仿宋" w:eastAsia="仿宋" w:cs="仿宋"/>
                <w:b/>
                <w:bCs/>
                <w:i w:val="0"/>
                <w:iCs w:val="0"/>
                <w:color w:val="000000"/>
                <w:kern w:val="0"/>
                <w:sz w:val="24"/>
                <w:szCs w:val="24"/>
                <w:u w:val="none"/>
                <w:lang w:val="en-US" w:eastAsia="zh-CN" w:bidi="ar"/>
              </w:rPr>
              <w:t>创新性：</w:t>
            </w:r>
            <w:r>
              <w:rPr>
                <w:rFonts w:hint="eastAsia" w:ascii="仿宋" w:hAnsi="仿宋" w:eastAsia="仿宋" w:cs="仿宋"/>
                <w:i w:val="0"/>
                <w:iCs w:val="0"/>
                <w:color w:val="000000"/>
                <w:kern w:val="0"/>
                <w:sz w:val="24"/>
                <w:szCs w:val="24"/>
                <w:u w:val="none"/>
                <w:lang w:val="en-US" w:eastAsia="zh-CN" w:bidi="ar"/>
              </w:rPr>
              <w:t xml:space="preserve">理论上突破传统文学研究的文本中心范式，“语言-图像”双重结构创新地域文学叙事框架；方法上融合文本细读与图像阐释，同时将数字技术运用至数据量化处理中，探求河北现当代小说的图像谱系。                                                                                                                           </w:t>
            </w:r>
            <w:r>
              <w:rPr>
                <w:rFonts w:hint="eastAsia" w:ascii="仿宋" w:hAnsi="仿宋" w:eastAsia="仿宋" w:cs="仿宋"/>
                <w:b/>
                <w:bCs/>
                <w:i w:val="0"/>
                <w:iCs w:val="0"/>
                <w:color w:val="000000"/>
                <w:kern w:val="0"/>
                <w:sz w:val="24"/>
                <w:szCs w:val="24"/>
                <w:u w:val="none"/>
                <w:lang w:val="en-US" w:eastAsia="zh-CN" w:bidi="ar"/>
              </w:rPr>
              <w:t>科学性：</w:t>
            </w:r>
            <w:r>
              <w:rPr>
                <w:rFonts w:hint="eastAsia" w:ascii="仿宋" w:hAnsi="仿宋" w:eastAsia="仿宋" w:cs="仿宋"/>
                <w:i w:val="0"/>
                <w:iCs w:val="0"/>
                <w:color w:val="000000"/>
                <w:kern w:val="0"/>
                <w:sz w:val="24"/>
                <w:szCs w:val="24"/>
                <w:u w:val="none"/>
                <w:lang w:val="en-US" w:eastAsia="zh-CN" w:bidi="ar"/>
              </w:rPr>
              <w:t xml:space="preserve">研究对象明确可界定且客观存在，依托符号学、语言学、图像学等科学理论，采用文本分析、比较研究等规范社科方法，逻辑链条严谨，研究价值实在，符合社科研究的实证与逻辑要求。                                                                                                                                           </w:t>
            </w:r>
            <w:r>
              <w:rPr>
                <w:rFonts w:hint="eastAsia" w:ascii="仿宋" w:hAnsi="仿宋" w:eastAsia="仿宋" w:cs="仿宋"/>
                <w:b/>
                <w:bCs/>
                <w:i w:val="0"/>
                <w:iCs w:val="0"/>
                <w:color w:val="000000"/>
                <w:kern w:val="0"/>
                <w:sz w:val="24"/>
                <w:szCs w:val="24"/>
                <w:u w:val="none"/>
                <w:lang w:val="en-US" w:eastAsia="zh-CN" w:bidi="ar"/>
              </w:rPr>
              <w:t>预期成果：</w:t>
            </w:r>
            <w:r>
              <w:rPr>
                <w:rFonts w:hint="eastAsia" w:ascii="仿宋" w:hAnsi="仿宋" w:eastAsia="仿宋" w:cs="仿宋"/>
                <w:i w:val="0"/>
                <w:iCs w:val="0"/>
                <w:color w:val="000000"/>
                <w:kern w:val="0"/>
                <w:sz w:val="24"/>
                <w:szCs w:val="24"/>
                <w:u w:val="none"/>
                <w:lang w:val="en-US" w:eastAsia="zh-CN" w:bidi="ar"/>
              </w:rPr>
              <w:t xml:space="preserve">两篇期刊文章。                                  </w:t>
            </w:r>
          </w:p>
        </w:tc>
      </w:tr>
      <w:tr w14:paraId="0A35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shd w:val="clear" w:color="auto" w:fill="auto"/>
            <w:vAlign w:val="center"/>
          </w:tcPr>
          <w:p w14:paraId="5B1D9D1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10</w:t>
            </w:r>
          </w:p>
        </w:tc>
        <w:tc>
          <w:tcPr>
            <w:tcW w:w="0" w:type="auto"/>
            <w:shd w:val="clear" w:color="auto" w:fill="auto"/>
            <w:vAlign w:val="center"/>
          </w:tcPr>
          <w:p w14:paraId="0120C9ED">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数字视听激发燕赵文化创新创造活力与传播力研究</w:t>
            </w:r>
          </w:p>
        </w:tc>
        <w:tc>
          <w:tcPr>
            <w:tcW w:w="0" w:type="auto"/>
            <w:shd w:val="clear" w:color="auto" w:fill="auto"/>
            <w:vAlign w:val="top"/>
          </w:tcPr>
          <w:p w14:paraId="74C48297">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一、选题必要性：破解传承困境，响应时代需求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燕赵文化作为中华文明的重要分支，承载着“慷慨悲歌、舍生取义”的精神内核，其传承与创新面临紧迫需求。燕赵大地虽拥丰富遗产，但在现代化进程中面临传承断层。研究数字视听与燕赵文化的结合，既是响应文化数字化战略的必然要求，也是培育区域经济新增长点的科学路径。</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二、选题可行性：技术资源兼备，实践基础坚实</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该研究的实施具备扎实的软硬件基础与资源支撑，技术基础成熟可靠，数字视听技术已在文化领域实现规模化应用。在案例运用中证明，数字技术已具备文化表达的精确性与艺术性。前期成果奠定根基。既有项目已验证数字视听传播的有效性，为研究提供方法论参照与技术调优样本。</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三、选题创新性：理论方法并重，突破传统范式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本研究的创新价值体现在理念升维、方法交叉与业态重构三个层面。数字视听强化感官通道的刺激对文化信息的传递效率，为沉浸式体验设计提供新范式。多学科技术融合驱动文化解码，构建文化基因的数字化解析体系。</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四、选题科学性：逻辑严谨可验证，理论实践融合</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本研究遵循“问题—技术—验证—推广”的科学路径，具备严密的研究逻辑。研究植根于文化遗产数字化理论与传播学“沉浸传播”范式，结合燕赵文化“风骨论”的精神特质，构建“技术赋能—文化活化—价值再生”的三维框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五、预期成果：多维输出驱动文化生态革新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拍摄一部《燕赵风骨》宣传片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出版专著《数字视听激发燕赵文化创新创造活力与传播力研究》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发表高水平学术论文2-3篇</w:t>
            </w:r>
          </w:p>
        </w:tc>
      </w:tr>
    </w:tbl>
    <w:p w14:paraId="75B6ACA8">
      <w:pPr>
        <w:rPr>
          <w:rFonts w:hint="eastAsia" w:ascii="仿宋" w:hAnsi="仿宋" w:eastAsia="仿宋" w:cs="仿宋"/>
          <w:sz w:val="28"/>
          <w:szCs w:val="28"/>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E544BE"/>
    <w:rsid w:val="04E64F6C"/>
    <w:rsid w:val="32F682F3"/>
    <w:rsid w:val="3FEF033B"/>
    <w:rsid w:val="3FEF1714"/>
    <w:rsid w:val="3FFFD983"/>
    <w:rsid w:val="50C22326"/>
    <w:rsid w:val="5AA56BD7"/>
    <w:rsid w:val="5B4147D2"/>
    <w:rsid w:val="5EC99376"/>
    <w:rsid w:val="677E0CC0"/>
    <w:rsid w:val="67E544BE"/>
    <w:rsid w:val="6B7F731F"/>
    <w:rsid w:val="6BE6B0C4"/>
    <w:rsid w:val="6EFE1105"/>
    <w:rsid w:val="77A14244"/>
    <w:rsid w:val="7D1058BF"/>
    <w:rsid w:val="7D5F9F9B"/>
    <w:rsid w:val="B5762867"/>
    <w:rsid w:val="BF7BC514"/>
    <w:rsid w:val="EEFF815B"/>
    <w:rsid w:val="F3B790FD"/>
    <w:rsid w:val="FFBD9ABC"/>
    <w:rsid w:val="FFFF1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table" w:styleId="3">
    <w:name w:val="Table Grid"/>
    <w:basedOn w:val="2"/>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5">
    <w:name w:val="font21"/>
    <w:basedOn w:val="4"/>
    <w:qFormat/>
    <w:uiPriority w:val="0"/>
    <w:rPr>
      <w:rFonts w:hint="eastAsia" w:ascii="宋体" w:hAnsi="宋体" w:eastAsia="宋体" w:cs="宋体"/>
      <w:b/>
      <w:bCs/>
      <w:color w:val="000000"/>
      <w:sz w:val="24"/>
      <w:szCs w:val="24"/>
      <w:u w:val="none"/>
    </w:rPr>
  </w:style>
  <w:style w:type="character" w:customStyle="1" w:styleId="6">
    <w:name w:val="font11"/>
    <w:basedOn w:val="4"/>
    <w:qFormat/>
    <w:uiPriority w:val="0"/>
    <w:rPr>
      <w:rFonts w:hint="eastAsia" w:ascii="宋体" w:hAnsi="宋体" w:eastAsia="宋体" w:cs="宋体"/>
      <w:color w:val="000000"/>
      <w:sz w:val="24"/>
      <w:szCs w:val="24"/>
      <w:u w:val="none"/>
    </w:rPr>
  </w:style>
  <w:style w:type="character" w:customStyle="1" w:styleId="7">
    <w:name w:val="font51"/>
    <w:basedOn w:val="4"/>
    <w:qFormat/>
    <w:uiPriority w:val="0"/>
    <w:rPr>
      <w:rFonts w:hint="default" w:ascii="Times New Roman" w:hAnsi="Times New Roman" w:cs="Times New Roman"/>
      <w:color w:val="000000"/>
      <w:sz w:val="24"/>
      <w:szCs w:val="24"/>
      <w:u w:val="none"/>
    </w:rPr>
  </w:style>
  <w:style w:type="character" w:customStyle="1" w:styleId="8">
    <w:name w:val="font31"/>
    <w:basedOn w:val="4"/>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4455</Words>
  <Characters>4506</Characters>
  <Lines>1</Lines>
  <Paragraphs>1</Paragraphs>
  <TotalTime>5</TotalTime>
  <ScaleCrop>false</ScaleCrop>
  <LinksUpToDate>false</LinksUpToDate>
  <CharactersWithSpaces>5018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2025-08-15T10:27:00Z</dcterms:created>
  <dc:creator>嘻嘻</dc:creator>
  <cp:lastModifiedBy>姚之</cp:lastModifiedBy>
  <dcterms:modified xsi:type="dcterms:W3CDTF">2025-08-18T03:16:35Z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79E60009FD1BD6F321BA9D68A2CC5F78_41</vt:lpwstr>
  </property>
  <property fmtid="{D5CDD505-2E9C-101B-9397-08002B2CF9AE}" pid="4" name="KSOTemplateDocerSaveRecord">
    <vt:lpwstr>eyJoZGlkIjoiNmE2YTk3MzliN2YwNjljZmUzNTc2NzBlMDBkNGJlMWIiLCJ1c2VySWQiOiIxNjkzMDIyOTAzIn0=</vt:lpwstr>
  </property>
</Properties>
</file>