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spacing w:line="360" w:lineRule="auto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  <w:lang w:val="en-US" w:eastAsia="zh-CN"/>
        </w:rPr>
        <w:t>2024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年度河北省文化艺术科学规划和旅游研究项目管理系统结项流程</w:t>
      </w:r>
    </w:p>
    <w:p>
      <w:pPr>
        <w:widowControl/>
        <w:spacing w:line="360" w:lineRule="auto"/>
        <w:jc w:val="left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br w:type="page"/>
      </w:r>
    </w:p>
    <w:sdt>
      <w:sdtPr>
        <w:rPr>
          <w:rFonts w:hint="eastAsia" w:asciiTheme="majorEastAsia" w:hAnsiTheme="majorEastAsia" w:eastAsiaTheme="minorEastAsia" w:cstheme="minorBidi"/>
          <w:color w:val="auto"/>
          <w:kern w:val="2"/>
          <w:sz w:val="21"/>
          <w:szCs w:val="22"/>
          <w:lang w:val="zh-CN"/>
        </w:rPr>
        <w:id w:val="469484445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spacing w:line="360" w:lineRule="auto"/>
            <w:jc w:val="center"/>
            <w:rPr>
              <w:rFonts w:asciiTheme="majorEastAsia" w:hAnsiTheme="majorEastAsia"/>
              <w:b/>
              <w:color w:val="000000" w:themeColor="text1"/>
            </w:rPr>
          </w:pPr>
          <w:r>
            <w:rPr>
              <w:rFonts w:hint="eastAsia" w:asciiTheme="majorEastAsia" w:hAnsiTheme="majorEastAsia"/>
              <w:b/>
              <w:color w:val="000000" w:themeColor="text1"/>
              <w:lang w:val="zh-CN"/>
            </w:rPr>
            <w:t>目录</w:t>
          </w:r>
        </w:p>
        <w:p>
          <w:pPr>
            <w:pStyle w:val="10"/>
            <w:tabs>
              <w:tab w:val="right" w:leader="hyphen" w:pos="8306"/>
            </w:tabs>
          </w:pPr>
          <w:bookmarkStart w:id="14" w:name="_GoBack"/>
          <w:bookmarkEnd w:id="14"/>
          <w:r>
            <w:rPr>
              <w:rFonts w:hint="eastAsia" w:asciiTheme="majorEastAsia" w:hAnsiTheme="majorEastAsia" w:eastAsiaTheme="majorEastAsia"/>
            </w:rPr>
            <w:fldChar w:fldCharType="begin"/>
          </w:r>
          <w:r>
            <w:rPr>
              <w:rFonts w:hint="eastAsia" w:asciiTheme="majorEastAsia" w:hAnsiTheme="majorEastAsia" w:eastAsiaTheme="majorEastAsia"/>
            </w:rPr>
            <w:instrText xml:space="preserve"> TOC \o "1-3" \h \z \u </w:instrText>
          </w:r>
          <w:r>
            <w:rPr>
              <w:rFonts w:hint="eastAsia" w:asciiTheme="majorEastAsia" w:hAnsiTheme="majorEastAsia" w:eastAsiaTheme="majorEastAsia"/>
            </w:rPr>
            <w:fldChar w:fldCharType="separate"/>
          </w:r>
          <w:r>
            <w:rPr>
              <w:rFonts w:hint="eastAsia" w:asciiTheme="majorEastAsia" w:hAnsiTheme="majorEastAsia" w:eastAsiaTheme="majorEastAsia"/>
            </w:rPr>
            <w:fldChar w:fldCharType="begin"/>
          </w:r>
          <w:r>
            <w:rPr>
              <w:rFonts w:hint="eastAsia" w:asciiTheme="majorEastAsia" w:hAnsiTheme="majorEastAsia" w:eastAsiaTheme="majorEastAsia"/>
            </w:rPr>
            <w:instrText xml:space="preserve"> HYPERLINK \l _Toc10032 </w:instrText>
          </w:r>
          <w:r>
            <w:rPr>
              <w:rFonts w:hint="eastAsia" w:asciiTheme="majorEastAsia" w:hAnsiTheme="majorEastAsia" w:eastAsiaTheme="majorEastAsia"/>
            </w:rPr>
            <w:fldChar w:fldCharType="separate"/>
          </w:r>
          <w:r>
            <w:rPr>
              <w:rFonts w:hint="eastAsia" w:asciiTheme="majorEastAsia" w:hAnsiTheme="majorEastAsia" w:eastAsiaTheme="majorEastAsia"/>
            </w:rPr>
            <w:t>一、系统概述</w:t>
          </w:r>
          <w:r>
            <w:tab/>
          </w:r>
          <w:r>
            <w:fldChar w:fldCharType="begin"/>
          </w:r>
          <w:r>
            <w:instrText xml:space="preserve"> PAGEREF _Toc10032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_Toc1619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/>
            </w:rPr>
            <w:t>1、运行环境要求</w:t>
          </w:r>
          <w:r>
            <w:tab/>
          </w:r>
          <w:r>
            <w:fldChar w:fldCharType="begin"/>
          </w:r>
          <w:r>
            <w:instrText xml:space="preserve"> PAGEREF _Toc1619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_Toc2842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/>
            </w:rPr>
            <w:t>二、整体流程</w:t>
          </w:r>
          <w:r>
            <w:tab/>
          </w:r>
          <w:r>
            <w:fldChar w:fldCharType="begin"/>
          </w:r>
          <w:r>
            <w:instrText xml:space="preserve"> PAGEREF _Toc2842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_Toc30113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/>
              <w:lang w:val="en-US" w:eastAsia="zh-CN"/>
            </w:rPr>
            <w:t>三</w:t>
          </w:r>
          <w:r>
            <w:rPr>
              <w:rFonts w:hint="eastAsia" w:asciiTheme="majorEastAsia" w:hAnsiTheme="majorEastAsia" w:eastAsiaTheme="majorEastAsia"/>
            </w:rPr>
            <w:t>、结项流程</w:t>
          </w:r>
          <w:r>
            <w:tab/>
          </w:r>
          <w:r>
            <w:fldChar w:fldCharType="begin"/>
          </w:r>
          <w:r>
            <w:instrText xml:space="preserve"> PAGEREF _Toc30113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_Toc27943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/>
            </w:rPr>
            <w:t>1、系统登录</w:t>
          </w:r>
          <w:r>
            <w:tab/>
          </w:r>
          <w:r>
            <w:fldChar w:fldCharType="begin"/>
          </w:r>
          <w:r>
            <w:instrText xml:space="preserve"> PAGEREF _Toc27943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_Toc15415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/>
            </w:rPr>
            <w:t>2、结项申请</w:t>
          </w:r>
          <w:r>
            <w:tab/>
          </w:r>
          <w:r>
            <w:fldChar w:fldCharType="begin"/>
          </w:r>
          <w:r>
            <w:instrText xml:space="preserve"> PAGEREF _Toc15415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_Toc23889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/>
            </w:rPr>
            <w:t>3、责任单位审核</w:t>
          </w:r>
          <w:r>
            <w:tab/>
          </w:r>
          <w:r>
            <w:fldChar w:fldCharType="begin"/>
          </w:r>
          <w:r>
            <w:instrText xml:space="preserve"> PAGEREF _Toc23889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_Toc405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/>
            </w:rPr>
            <w:t>4、结项项目</w:t>
          </w:r>
          <w:r>
            <w:tab/>
          </w:r>
          <w:r>
            <w:fldChar w:fldCharType="begin"/>
          </w:r>
          <w:r>
            <w:instrText xml:space="preserve"> PAGEREF _Toc405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_Toc9921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/>
              <w:lang w:val="en-US" w:eastAsia="zh-CN"/>
            </w:rPr>
            <w:t>四</w:t>
          </w:r>
          <w:r>
            <w:rPr>
              <w:rFonts w:hint="eastAsia" w:asciiTheme="majorEastAsia" w:hAnsiTheme="majorEastAsia" w:eastAsiaTheme="majorEastAsia"/>
            </w:rPr>
            <w:t>、项目变更流程</w:t>
          </w:r>
          <w:r>
            <w:tab/>
          </w:r>
          <w:r>
            <w:fldChar w:fldCharType="begin"/>
          </w:r>
          <w:r>
            <w:instrText xml:space="preserve"> PAGEREF _Toc9921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_Toc18243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/>
            </w:rPr>
            <w:t>1、申报人申请</w:t>
          </w:r>
          <w:r>
            <w:tab/>
          </w:r>
          <w:r>
            <w:fldChar w:fldCharType="begin"/>
          </w:r>
          <w:r>
            <w:instrText xml:space="preserve"> PAGEREF _Toc18243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_Toc9179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/>
            </w:rPr>
            <w:t>2、责任单位审核</w:t>
          </w:r>
          <w:r>
            <w:tab/>
          </w:r>
          <w:r>
            <w:fldChar w:fldCharType="begin"/>
          </w:r>
          <w:r>
            <w:instrText xml:space="preserve"> PAGEREF _Toc9179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_Toc18728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/>
              <w:lang w:val="en-US" w:eastAsia="zh-CN"/>
            </w:rPr>
            <w:t>五</w:t>
          </w:r>
          <w:r>
            <w:rPr>
              <w:rFonts w:hint="eastAsia" w:asciiTheme="majorEastAsia" w:hAnsiTheme="majorEastAsia" w:eastAsiaTheme="majorEastAsia"/>
            </w:rPr>
            <w:t>、结项鉴定不通过二次结项流程</w:t>
          </w:r>
          <w:r>
            <w:tab/>
          </w:r>
          <w:r>
            <w:fldChar w:fldCharType="begin"/>
          </w:r>
          <w:r>
            <w:instrText xml:space="preserve"> PAGEREF _Toc18728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_Toc1971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/>
            </w:rPr>
            <w:t>1、申报人申请</w:t>
          </w:r>
          <w:r>
            <w:tab/>
          </w:r>
          <w:r>
            <w:fldChar w:fldCharType="begin"/>
          </w:r>
          <w:r>
            <w:instrText xml:space="preserve"> PAGEREF _Toc1971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hyphen" w:pos="8306"/>
            </w:tabs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begin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instrText xml:space="preserve"> HYPERLINK \l _Toc25001 </w:instrText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rPr>
              <w:rFonts w:hint="eastAsia"/>
            </w:rPr>
            <w:t>责任单位审核</w:t>
          </w:r>
          <w:r>
            <w:tab/>
          </w:r>
          <w:r>
            <w:fldChar w:fldCharType="begin"/>
          </w:r>
          <w:r>
            <w:instrText xml:space="preserve"> PAGEREF _Toc25001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  <w:p>
          <w:pPr>
            <w:spacing w:line="360" w:lineRule="auto"/>
            <w:rPr>
              <w:rFonts w:asciiTheme="majorEastAsia" w:hAnsiTheme="majorEastAsia" w:eastAsiaTheme="majorEastAsia"/>
            </w:rPr>
          </w:pPr>
          <w:r>
            <w:rPr>
              <w:rFonts w:hint="eastAsia" w:asciiTheme="majorEastAsia" w:hAnsiTheme="majorEastAsia" w:eastAsiaTheme="majorEastAsia"/>
              <w:bCs/>
              <w:lang w:val="zh-CN"/>
            </w:rPr>
            <w:fldChar w:fldCharType="end"/>
          </w:r>
        </w:p>
      </w:sdtContent>
    </w:sdt>
    <w:p>
      <w:pPr>
        <w:widowControl/>
        <w:spacing w:line="360" w:lineRule="auto"/>
        <w:jc w:val="left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br w:type="page"/>
      </w:r>
    </w:p>
    <w:p>
      <w:pPr>
        <w:pStyle w:val="2"/>
        <w:spacing w:line="360" w:lineRule="auto"/>
        <w:rPr>
          <w:rFonts w:asciiTheme="majorEastAsia" w:hAnsiTheme="majorEastAsia" w:eastAsiaTheme="majorEastAsia"/>
        </w:rPr>
      </w:pPr>
      <w:bookmarkStart w:id="0" w:name="_Toc10032"/>
      <w:r>
        <w:rPr>
          <w:rFonts w:hint="eastAsia" w:asciiTheme="majorEastAsia" w:hAnsiTheme="majorEastAsia" w:eastAsiaTheme="majorEastAsia"/>
        </w:rPr>
        <w:t>一、系统概述</w:t>
      </w:r>
      <w:bookmarkEnd w:id="0"/>
    </w:p>
    <w:p>
      <w:pPr>
        <w:spacing w:line="360" w:lineRule="auto"/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河北省文化艺术科学规划和旅游研究项目管理系统（以下简称“项目管理系统”），将科研人员、科研单位和科研管理部门集中到统一的网络平台上协同办公。系统以项目管理为中心，优化项目管理方式及流程，实现政策文件、通知公告、个人信息管理、项目立项、变更、结项、成果统计全周期管理。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本文档主要针对申报人编写，其中涉及到责任单位的结项流程，请打开浏览器输入地址并访问：</w:t>
      </w:r>
      <w:r>
        <w:fldChar w:fldCharType="begin"/>
      </w:r>
      <w:r>
        <w:instrText xml:space="preserve"> HYPERLINK "http://hbwlkyglxt.hebeitour.com.cn/" </w:instrText>
      </w:r>
      <w:r>
        <w:fldChar w:fldCharType="separate"/>
      </w:r>
      <w:r>
        <w:rPr>
          <w:rStyle w:val="14"/>
          <w:rFonts w:hint="eastAsia" w:asciiTheme="majorEastAsia" w:hAnsiTheme="majorEastAsia" w:eastAsiaTheme="majorEastAsia"/>
          <w:sz w:val="24"/>
          <w:szCs w:val="24"/>
        </w:rPr>
        <w:t>http://hbwlkyglxt.hebeitour.com.cn/</w:t>
      </w:r>
      <w:r>
        <w:rPr>
          <w:rStyle w:val="14"/>
          <w:rFonts w:hint="eastAsia"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4"/>
        </w:rPr>
        <w:t>，在首页通知公告栏点击“河北省文化艺术科学规划和旅游研究项目管理系统使用手册”，打开河北省文化艺术科学规划和旅游研究项目管理系统使用手册，下载《河北省文化艺术科学规划和旅游研究项目管理系统使用手册 (责任单位角色)》查看相关结项审核流程。</w:t>
      </w:r>
    </w:p>
    <w:p>
      <w:pPr>
        <w:pStyle w:val="5"/>
        <w:spacing w:line="360" w:lineRule="auto"/>
        <w:rPr>
          <w:rFonts w:asciiTheme="majorEastAsia" w:hAnsiTheme="majorEastAsia" w:eastAsiaTheme="majorEastAsia"/>
          <w:kern w:val="2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按流程操作</w:t>
      </w:r>
      <w:r>
        <w:rPr>
          <w:rFonts w:asciiTheme="majorEastAsia" w:hAnsiTheme="majorEastAsia" w:eastAsiaTheme="majorEastAsia"/>
          <w:kern w:val="2"/>
          <w:sz w:val="24"/>
          <w:szCs w:val="24"/>
        </w:rPr>
        <w:t>结项</w:t>
      </w:r>
      <w:r>
        <w:rPr>
          <w:rFonts w:hint="eastAsia" w:asciiTheme="majorEastAsia" w:hAnsiTheme="majorEastAsia" w:eastAsiaTheme="majorEastAsia"/>
          <w:kern w:val="2"/>
          <w:sz w:val="24"/>
          <w:szCs w:val="24"/>
        </w:rPr>
        <w:t>申请，</w:t>
      </w:r>
      <w:r>
        <w:rPr>
          <w:rFonts w:asciiTheme="majorEastAsia" w:hAnsiTheme="majorEastAsia" w:eastAsiaTheme="majorEastAsia"/>
          <w:kern w:val="2"/>
          <w:sz w:val="24"/>
          <w:szCs w:val="24"/>
        </w:rPr>
        <w:t>当前环节状态</w:t>
      </w:r>
      <w:r>
        <w:rPr>
          <w:rFonts w:hint="eastAsia" w:asciiTheme="majorEastAsia" w:hAnsiTheme="majorEastAsia" w:eastAsiaTheme="majorEastAsia"/>
          <w:kern w:val="2"/>
          <w:sz w:val="24"/>
          <w:szCs w:val="24"/>
        </w:rPr>
        <w:t>分别为：</w:t>
      </w:r>
      <w:r>
        <w:rPr>
          <w:rFonts w:asciiTheme="majorEastAsia" w:hAnsiTheme="majorEastAsia" w:eastAsiaTheme="majorEastAsia"/>
          <w:kern w:val="2"/>
          <w:sz w:val="24"/>
          <w:szCs w:val="24"/>
        </w:rPr>
        <w:t>在研中</w:t>
      </w:r>
      <w:r>
        <w:rPr>
          <w:rFonts w:hint="eastAsia" w:asciiTheme="majorEastAsia" w:hAnsiTheme="majorEastAsia" w:eastAsiaTheme="majorEastAsia"/>
          <w:kern w:val="2"/>
          <w:sz w:val="24"/>
          <w:szCs w:val="24"/>
        </w:rPr>
        <w:t>----</w:t>
      </w:r>
      <w:r>
        <w:rPr>
          <w:rFonts w:asciiTheme="majorEastAsia" w:hAnsiTheme="majorEastAsia" w:eastAsiaTheme="majorEastAsia"/>
          <w:kern w:val="2"/>
          <w:sz w:val="24"/>
          <w:szCs w:val="24"/>
        </w:rPr>
        <w:t>待审核</w:t>
      </w:r>
      <w:r>
        <w:rPr>
          <w:rFonts w:hint="eastAsia" w:asciiTheme="majorEastAsia" w:hAnsiTheme="majorEastAsia" w:eastAsiaTheme="majorEastAsia"/>
          <w:kern w:val="2"/>
          <w:sz w:val="24"/>
          <w:szCs w:val="24"/>
        </w:rPr>
        <w:t>-----</w:t>
      </w:r>
      <w:r>
        <w:rPr>
          <w:rFonts w:asciiTheme="majorEastAsia" w:hAnsiTheme="majorEastAsia" w:eastAsiaTheme="majorEastAsia"/>
          <w:kern w:val="2"/>
          <w:sz w:val="24"/>
          <w:szCs w:val="24"/>
        </w:rPr>
        <w:t>进行中</w:t>
      </w:r>
      <w:r>
        <w:rPr>
          <w:rFonts w:hint="eastAsia" w:asciiTheme="majorEastAsia" w:hAnsiTheme="majorEastAsia" w:eastAsiaTheme="majorEastAsia"/>
          <w:kern w:val="2"/>
          <w:sz w:val="24"/>
          <w:szCs w:val="24"/>
        </w:rPr>
        <w:t>----鉴定结果</w:t>
      </w:r>
    </w:p>
    <w:p>
      <w:pPr>
        <w:pStyle w:val="3"/>
        <w:spacing w:line="360" w:lineRule="auto"/>
        <w:rPr>
          <w:rFonts w:asciiTheme="majorEastAsia" w:hAnsiTheme="majorEastAsia"/>
        </w:rPr>
      </w:pPr>
      <w:bookmarkStart w:id="1" w:name="_Toc1619"/>
      <w:r>
        <w:rPr>
          <w:rFonts w:hint="eastAsia" w:asciiTheme="majorEastAsia" w:hAnsiTheme="majorEastAsia"/>
        </w:rPr>
        <w:t>1、运行环境要求</w:t>
      </w:r>
      <w:bookmarkEnd w:id="1"/>
    </w:p>
    <w:p>
      <w:pPr>
        <w:spacing w:line="360" w:lineRule="auto"/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客户端软硬件环境要求如下：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操作系统</w:t>
      </w:r>
      <w:r>
        <w:rPr>
          <w:rFonts w:hint="eastAsia" w:asciiTheme="majorEastAsia" w:hAnsiTheme="majorEastAsia" w:eastAsiaTheme="majorEastAsia"/>
          <w:sz w:val="24"/>
          <w:szCs w:val="24"/>
        </w:rPr>
        <w:t>：window 7以上版本。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浏览器：</w:t>
      </w:r>
      <w:r>
        <w:rPr>
          <w:rFonts w:hint="eastAsia" w:asciiTheme="majorEastAsia" w:hAnsiTheme="majorEastAsia" w:eastAsiaTheme="majorEastAsia"/>
          <w:sz w:val="24"/>
          <w:szCs w:val="24"/>
        </w:rPr>
        <w:t>GoogleChrome、Mozilla Firefox、360浏览器（极速模式）等主流浏览器。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推荐GoogleChrome浏览器</w:t>
      </w:r>
    </w:p>
    <w:p>
      <w:pPr>
        <w:pStyle w:val="20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屏幕分辨率：</w:t>
      </w:r>
      <w:r>
        <w:rPr>
          <w:rFonts w:hint="eastAsia" w:asciiTheme="majorEastAsia" w:hAnsiTheme="majorEastAsia" w:eastAsiaTheme="majorEastAsia"/>
          <w:sz w:val="24"/>
          <w:szCs w:val="24"/>
        </w:rPr>
        <w:t>1600 * 900.</w:t>
      </w:r>
    </w:p>
    <w:p>
      <w:pPr>
        <w:pStyle w:val="2"/>
        <w:spacing w:line="360" w:lineRule="auto"/>
        <w:rPr>
          <w:rFonts w:asciiTheme="majorEastAsia" w:hAnsiTheme="majorEastAsia" w:eastAsiaTheme="majorEastAsia"/>
        </w:rPr>
      </w:pPr>
      <w:bookmarkStart w:id="2" w:name="_Toc2842"/>
      <w:r>
        <w:rPr>
          <w:rFonts w:hint="eastAsia" w:asciiTheme="majorEastAsia" w:hAnsiTheme="majorEastAsia" w:eastAsiaTheme="majorEastAsia"/>
        </w:rPr>
        <w:t>二、整体流程</w:t>
      </w:r>
      <w:bookmarkEnd w:id="2"/>
    </w:p>
    <w:p>
      <w:pPr>
        <w:spacing w:line="360" w:lineRule="auto"/>
        <w:rPr>
          <w:rFonts w:asciiTheme="majorEastAsia" w:hAnsiTheme="majorEastAsia" w:eastAsiaTheme="majorEastAsia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4855845" cy="5236845"/>
            <wp:effectExtent l="0" t="0" r="0" b="0"/>
            <wp:docPr id="26" name="图片 26" descr="C:\Users\王鹏\AppData\Local\Temp\WeChat Files\8534593492a1103e4f233e8d1c282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王鹏\AppData\Local\Temp\WeChat Files\8534593492a1103e4f233e8d1c2825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eastAsia" w:asciiTheme="majorEastAsia" w:hAnsiTheme="majorEastAsia" w:eastAsiaTheme="majorEastAsia"/>
          <w:color w:val="auto"/>
        </w:rPr>
      </w:pPr>
      <w:bookmarkStart w:id="3" w:name="_Toc30113"/>
      <w:r>
        <w:rPr>
          <w:rFonts w:hint="eastAsia" w:asciiTheme="majorEastAsia" w:hAnsiTheme="majorEastAsia" w:eastAsiaTheme="majorEastAsia"/>
          <w:color w:val="auto"/>
          <w:lang w:val="en-US" w:eastAsia="zh-CN"/>
        </w:rPr>
        <w:t>三</w:t>
      </w:r>
      <w:r>
        <w:rPr>
          <w:rFonts w:hint="eastAsia" w:asciiTheme="majorEastAsia" w:hAnsiTheme="majorEastAsia" w:eastAsiaTheme="majorEastAsia"/>
          <w:color w:val="auto"/>
        </w:rPr>
        <w:t>、结项流程</w:t>
      </w:r>
      <w:bookmarkEnd w:id="3"/>
    </w:p>
    <w:p>
      <w:pPr>
        <w:pStyle w:val="5"/>
        <w:spacing w:line="360" w:lineRule="auto"/>
        <w:rPr>
          <w:rFonts w:hint="default" w:asciiTheme="majorEastAsia" w:hAnsiTheme="majorEastAsia" w:eastAsiaTheme="majorEastAsia"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color w:val="auto"/>
          <w:sz w:val="24"/>
          <w:szCs w:val="24"/>
          <w:lang w:val="en-US" w:eastAsia="zh-CN"/>
        </w:rPr>
        <w:t>在本系统</w:t>
      </w:r>
      <w:r>
        <w:rPr>
          <w:rFonts w:hint="eastAsia" w:asciiTheme="majorEastAsia" w:hAnsiTheme="majorEastAsia" w:eastAsiaTheme="majorEastAsia"/>
          <w:color w:val="auto"/>
          <w:sz w:val="24"/>
          <w:szCs w:val="24"/>
        </w:rPr>
        <w:t>进行结项申请。</w:t>
      </w:r>
      <w:r>
        <w:rPr>
          <w:rFonts w:hint="eastAsia" w:asciiTheme="majorEastAsia" w:hAnsiTheme="majorEastAsia" w:eastAsiaTheme="majorEastAsia"/>
          <w:color w:val="auto"/>
          <w:sz w:val="24"/>
          <w:szCs w:val="24"/>
          <w:lang w:val="en-US" w:eastAsia="zh-CN"/>
        </w:rPr>
        <w:t>请参考《河北省文化艺术科学规划和旅游研究项目管理系统使用手册(申报人角色)》</w:t>
      </w:r>
    </w:p>
    <w:p>
      <w:pPr>
        <w:pStyle w:val="3"/>
        <w:spacing w:line="360" w:lineRule="auto"/>
        <w:rPr>
          <w:rFonts w:asciiTheme="majorEastAsia" w:hAnsiTheme="majorEastAsia"/>
        </w:rPr>
      </w:pPr>
      <w:bookmarkStart w:id="4" w:name="_Toc27943"/>
      <w:r>
        <w:rPr>
          <w:rFonts w:hint="eastAsia" w:asciiTheme="majorEastAsia" w:hAnsiTheme="majorEastAsia"/>
        </w:rPr>
        <w:t>1、系统登录</w:t>
      </w:r>
      <w:bookmarkEnd w:id="4"/>
    </w:p>
    <w:p>
      <w:pPr>
        <w:spacing w:line="360" w:lineRule="auto"/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注册并审核通过的申报人，可通过申报人的“身份证”登录。具体登录操作流程如下：</w:t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系统已安装了符合系统运行环境要求的浏览器。（参见：第一章 运行环境要求）。</w:t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已经拥有合法的账号和密码。</w:t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打开您安装的浏览器，在浏览器地址栏输入“项目管理系统”系统网址：</w:t>
      </w:r>
      <w:r>
        <w:fldChar w:fldCharType="begin"/>
      </w:r>
      <w:r>
        <w:instrText xml:space="preserve"> HYPERLINK "http://hbwlkyglxt.hebeitour.com.cn/" </w:instrText>
      </w:r>
      <w:r>
        <w:fldChar w:fldCharType="separate"/>
      </w:r>
      <w:r>
        <w:rPr>
          <w:rStyle w:val="14"/>
          <w:rFonts w:hint="eastAsia" w:asciiTheme="majorEastAsia" w:hAnsiTheme="majorEastAsia" w:eastAsiaTheme="majorEastAsia"/>
          <w:sz w:val="24"/>
          <w:szCs w:val="24"/>
        </w:rPr>
        <w:t>http://hbwlkyglxt.hebeitour.com.cn/</w:t>
      </w:r>
      <w:r>
        <w:rPr>
          <w:rStyle w:val="14"/>
          <w:rFonts w:hint="eastAsia"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/>
          <w:sz w:val="24"/>
          <w:szCs w:val="24"/>
        </w:rPr>
        <w:t>，进入系统首页（如图2.1-1）。</w:t>
      </w:r>
    </w:p>
    <w:p>
      <w:pPr>
        <w:spacing w:line="360" w:lineRule="auto"/>
        <w:ind w:firstLine="420"/>
        <w:jc w:val="center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4923155" cy="2527935"/>
            <wp:effectExtent l="0" t="0" r="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233" cy="25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图2.1-1 项目管理系统登录</w:t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请选择“申报人”登录页面，将您的身份证号（账号注册时填写的身份证号），填入账号输入框中，将您的账号密码填入密码输入框中，将验证码输入框右侧图片上的字符和数字，输入验证码输入框中（如图2.1-2所示）</w:t>
      </w:r>
      <w:r>
        <w:rPr>
          <w:rFonts w:hint="eastAsia" w:asciiTheme="majorEastAsia" w:hAnsiTheme="majorEastAsia" w:eastAsiaTheme="majorEastAsia"/>
        </w:rPr>
        <w:t>。</w:t>
      </w:r>
    </w:p>
    <w:p>
      <w:pPr>
        <w:pStyle w:val="20"/>
        <w:spacing w:line="360" w:lineRule="auto"/>
        <w:ind w:left="780" w:firstLine="0"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4316730" cy="2186940"/>
            <wp:effectExtent l="0" t="0" r="762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801" cy="218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360" w:lineRule="auto"/>
        <w:ind w:left="780" w:firstLine="0" w:firstLineChars="0"/>
        <w:jc w:val="center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t>图2.1-2 账户登录界面</w:t>
      </w:r>
    </w:p>
    <w:p>
      <w:pPr>
        <w:pStyle w:val="20"/>
        <w:spacing w:line="360" w:lineRule="auto"/>
        <w:ind w:left="780" w:firstLine="0" w:firstLineChars="0"/>
        <w:rPr>
          <w:rFonts w:asciiTheme="majorEastAsia" w:hAnsiTheme="majorEastAsia" w:eastAsiaTheme="majorEastAsia"/>
        </w:rPr>
      </w:pPr>
    </w:p>
    <w:p>
      <w:pPr>
        <w:pStyle w:val="20"/>
        <w:numPr>
          <w:ilvl w:val="0"/>
          <w:numId w:val="2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单击“登录”按钮，登录系统后,将进入到项目管理/申报项目界面（如图2.1-3所示）。</w:t>
      </w:r>
    </w:p>
    <w:p>
      <w:pPr>
        <w:pStyle w:val="20"/>
        <w:spacing w:line="360" w:lineRule="auto"/>
        <w:ind w:left="567" w:leftChars="270" w:firstLine="0" w:firstLineChars="0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4871720" cy="2348230"/>
            <wp:effectExtent l="0" t="0" r="508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74" cy="23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360" w:lineRule="auto"/>
        <w:ind w:left="1196" w:firstLine="0" w:firstLineChars="0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图2.1-3 申报项目界面</w:t>
      </w:r>
    </w:p>
    <w:p>
      <w:pPr>
        <w:pStyle w:val="3"/>
        <w:spacing w:line="360" w:lineRule="auto"/>
        <w:rPr>
          <w:rFonts w:asciiTheme="majorEastAsia" w:hAnsiTheme="majorEastAsia"/>
        </w:rPr>
      </w:pPr>
      <w:bookmarkStart w:id="5" w:name="_Toc15415"/>
      <w:r>
        <w:rPr>
          <w:rFonts w:hint="eastAsia" w:asciiTheme="majorEastAsia" w:hAnsiTheme="majorEastAsia"/>
        </w:rPr>
        <w:t>2、结项申请</w:t>
      </w:r>
      <w:bookmarkEnd w:id="5"/>
    </w:p>
    <w:p>
      <w:pPr>
        <w:pStyle w:val="20"/>
        <w:spacing w:line="360" w:lineRule="auto"/>
        <w:ind w:left="420" w:firstLine="0"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1）已登录到“项目管理系统”。</w:t>
      </w:r>
    </w:p>
    <w:p>
      <w:pPr>
        <w:pStyle w:val="20"/>
        <w:spacing w:line="360" w:lineRule="auto"/>
        <w:ind w:left="420" w:firstLine="0"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2）点击左侧功能菜单“项目管理”模块下的“结项申请”菜单，进入项目列表界面。选择需要结项的项目点击“填写结项申请”。如下图所示：</w:t>
      </w:r>
    </w:p>
    <w:p>
      <w:pPr>
        <w:pStyle w:val="20"/>
        <w:spacing w:line="360" w:lineRule="auto"/>
        <w:ind w:left="420" w:firstLine="0" w:firstLineChars="0"/>
        <w:jc w:val="both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4748530" cy="22510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62" cy="22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结项类型</w:t>
      </w:r>
    </w:p>
    <w:p>
      <w:pPr>
        <w:spacing w:line="360" w:lineRule="auto"/>
        <w:jc w:val="center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49911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结项报告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1749425"/>
            <wp:effectExtent l="0" t="0" r="254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成果简介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170243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结项佐证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24885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3）按照结项申请要求，将申请的项目信息资料，填入相应的输入框中。 信息输入过程中，系统将随输入及时验证输入内容的合法性，并以红色提示文字提示录入问题。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4）点击“暂存”按钮，系统会将已填写的申请信息保存到系统中，方便以后继续填写，此时项目为“草稿”状态。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5）必填信息填写完成，并验证通过后，点击“提交”按钮提交项目，点击“确定”按钮，系统会将项目提交到所属单位进行审批。提交成功后，申请信息将不允许再进行修改</w:t>
      </w:r>
    </w:p>
    <w:p>
      <w:pPr>
        <w:pStyle w:val="3"/>
        <w:spacing w:line="360" w:lineRule="auto"/>
        <w:rPr>
          <w:rFonts w:asciiTheme="majorEastAsia" w:hAnsiTheme="majorEastAsia"/>
        </w:rPr>
      </w:pPr>
      <w:bookmarkStart w:id="6" w:name="_Toc23889"/>
      <w:r>
        <w:rPr>
          <w:rFonts w:hint="eastAsia" w:asciiTheme="majorEastAsia" w:hAnsiTheme="majorEastAsia"/>
        </w:rPr>
        <w:t>3、责任单位审核</w:t>
      </w:r>
      <w:bookmarkEnd w:id="6"/>
    </w:p>
    <w:p>
      <w:pPr>
        <w:spacing w:line="360" w:lineRule="auto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责任单位按照《河北省文化艺术科学规划和旅游研究项目管理系统使用手册 (责任单位角色)》有关要求审核提交本单位项目。</w:t>
      </w:r>
    </w:p>
    <w:p>
      <w:pPr>
        <w:pStyle w:val="20"/>
        <w:spacing w:line="360" w:lineRule="auto"/>
        <w:ind w:left="1196" w:firstLine="0" w:firstLineChars="0"/>
        <w:jc w:val="center"/>
        <w:rPr>
          <w:rFonts w:asciiTheme="majorEastAsia" w:hAnsiTheme="majorEastAsia" w:eastAsiaTheme="majorEastAsia"/>
        </w:rPr>
      </w:pPr>
    </w:p>
    <w:p>
      <w:pPr>
        <w:pStyle w:val="3"/>
        <w:spacing w:line="360" w:lineRule="auto"/>
        <w:rPr>
          <w:rFonts w:asciiTheme="majorEastAsia" w:hAnsiTheme="majorEastAsia"/>
        </w:rPr>
      </w:pPr>
      <w:bookmarkStart w:id="7" w:name="_Toc405"/>
      <w:r>
        <w:rPr>
          <w:rFonts w:hint="eastAsia" w:asciiTheme="majorEastAsia" w:hAnsiTheme="majorEastAsia"/>
        </w:rPr>
        <w:t>4、结项项目</w:t>
      </w:r>
      <w:bookmarkEnd w:id="7"/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结项项目，用于查看结项申请（鉴定通过、鉴定不通过）和上传成果</w:t>
      </w:r>
    </w:p>
    <w:p>
      <w:pPr>
        <w:pStyle w:val="20"/>
        <w:numPr>
          <w:ilvl w:val="0"/>
          <w:numId w:val="4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已登录到“项目管理系统”。</w:t>
      </w:r>
    </w:p>
    <w:p>
      <w:pPr>
        <w:pStyle w:val="20"/>
        <w:numPr>
          <w:ilvl w:val="0"/>
          <w:numId w:val="4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点击左侧功能菜单“项目管理”模块下的“结项项目”菜单，进入结项项目列表界面。此时项目的状态为“鉴定通过”，此时项目可以执行上传成果和查看结项申请，如下图所示：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172339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4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当前环节“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鉴定通过</w:t>
      </w:r>
      <w:r>
        <w:rPr>
          <w:rFonts w:hint="eastAsia" w:asciiTheme="majorEastAsia" w:hAnsiTheme="majorEastAsia" w:eastAsiaTheme="majorEastAsia"/>
          <w:sz w:val="24"/>
          <w:szCs w:val="24"/>
        </w:rPr>
        <w:t>”，请申报人上传成果，点击“上传成果”，可以上传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结项成果</w:t>
      </w:r>
      <w:r>
        <w:rPr>
          <w:rFonts w:hint="eastAsia" w:asciiTheme="majorEastAsia" w:hAnsiTheme="majorEastAsia" w:eastAsiaTheme="majorEastAsia"/>
          <w:sz w:val="24"/>
          <w:szCs w:val="24"/>
        </w:rPr>
        <w:t>；</w:t>
      </w:r>
    </w:p>
    <w:p>
      <w:pPr>
        <w:pStyle w:val="20"/>
        <w:numPr>
          <w:ilvl w:val="0"/>
          <w:numId w:val="4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点击“查看结项申请”，可以查看结项申请情况；</w:t>
      </w:r>
    </w:p>
    <w:p>
      <w:pPr>
        <w:pStyle w:val="20"/>
        <w:numPr>
          <w:ilvl w:val="0"/>
          <w:numId w:val="4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点击“鉴定结项申请书下载”，可以下载鉴定结项申请书；</w:t>
      </w:r>
    </w:p>
    <w:p>
      <w:pPr>
        <w:pStyle w:val="2"/>
        <w:rPr>
          <w:rFonts w:asciiTheme="majorEastAsia" w:hAnsiTheme="majorEastAsia" w:eastAsiaTheme="majorEastAsia"/>
          <w:color w:val="auto"/>
        </w:rPr>
      </w:pPr>
      <w:bookmarkStart w:id="8" w:name="_Toc9921"/>
      <w:r>
        <w:rPr>
          <w:rFonts w:hint="eastAsia" w:asciiTheme="majorEastAsia" w:hAnsiTheme="majorEastAsia" w:eastAsiaTheme="majorEastAsia"/>
          <w:color w:val="auto"/>
          <w:lang w:val="en-US" w:eastAsia="zh-CN"/>
        </w:rPr>
        <w:t>四</w:t>
      </w:r>
      <w:r>
        <w:rPr>
          <w:rFonts w:hint="eastAsia" w:asciiTheme="majorEastAsia" w:hAnsiTheme="majorEastAsia" w:eastAsiaTheme="majorEastAsia"/>
          <w:color w:val="auto"/>
        </w:rPr>
        <w:t>、项目变更流程</w:t>
      </w:r>
      <w:bookmarkEnd w:id="8"/>
    </w:p>
    <w:p>
      <w:pPr>
        <w:spacing w:line="360" w:lineRule="auto"/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项目进行成果形式、延期、变更课题组成员等信息的变更，流程如下图所示。</w:t>
      </w:r>
    </w:p>
    <w:p>
      <w:pPr>
        <w:spacing w:line="360" w:lineRule="auto"/>
        <w:ind w:firstLine="420"/>
        <w:jc w:val="center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3172460" cy="2672080"/>
            <wp:effectExtent l="0" t="0" r="889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7323" cy="26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18243"/>
      <w:r>
        <w:rPr>
          <w:rFonts w:hint="eastAsia"/>
        </w:rPr>
        <w:t>1、申报人申请</w:t>
      </w:r>
      <w:bookmarkEnd w:id="9"/>
    </w:p>
    <w:p>
      <w:pPr>
        <w:pStyle w:val="20"/>
        <w:spacing w:line="360" w:lineRule="auto"/>
        <w:ind w:left="420" w:firstLine="0"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1）已登录到“项目管理系统”。</w:t>
      </w:r>
    </w:p>
    <w:p>
      <w:pPr>
        <w:pStyle w:val="20"/>
        <w:spacing w:line="360" w:lineRule="auto"/>
        <w:ind w:left="420" w:firstLine="0"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2）点击左侧功能菜单“项目管理”模块下的“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项目变更</w:t>
      </w:r>
      <w:r>
        <w:rPr>
          <w:rFonts w:hint="eastAsia" w:asciiTheme="majorEastAsia" w:hAnsiTheme="majorEastAsia" w:eastAsiaTheme="majorEastAsia"/>
          <w:sz w:val="24"/>
          <w:szCs w:val="24"/>
        </w:rPr>
        <w:t>”菜单，进入项目变更界面，点击“添加”按钮（如图5.1-1所示）：</w:t>
      </w:r>
    </w:p>
    <w:p>
      <w:pPr>
        <w:spacing w:line="360" w:lineRule="auto"/>
        <w:ind w:firstLine="420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4784090" cy="175958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185" cy="176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图</w:t>
      </w:r>
      <w:r>
        <w:rPr>
          <w:rFonts w:hint="eastAsia" w:asciiTheme="majorEastAsia" w:hAnsiTheme="majorEastAsia" w:eastAsiaTheme="majorEastAsia"/>
          <w:sz w:val="24"/>
          <w:szCs w:val="24"/>
        </w:rPr>
        <w:t>5.1-1</w:t>
      </w:r>
      <w:r>
        <w:rPr>
          <w:rFonts w:hint="eastAsia" w:asciiTheme="majorEastAsia" w:hAnsiTheme="majorEastAsia" w:eastAsiaTheme="majorEastAsia"/>
        </w:rPr>
        <w:t xml:space="preserve"> 项目变更界面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 xml:space="preserve"> 基本信息，下拉选择需要变更的项目</w:t>
      </w:r>
    </w:p>
    <w:p>
      <w:pPr>
        <w:pStyle w:val="20"/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13963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 xml:space="preserve"> 变更内容，选择需要变更的内容</w:t>
      </w:r>
    </w:p>
    <w:p>
      <w:pPr>
        <w:pStyle w:val="20"/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6419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 xml:space="preserve"> 添加变更的内容</w:t>
      </w:r>
    </w:p>
    <w:p>
      <w:pPr>
        <w:pStyle w:val="20"/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9029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变更事由</w:t>
      </w:r>
    </w:p>
    <w:p>
      <w:pPr>
        <w:pStyle w:val="20"/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74310" cy="6223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 w:hanging="240" w:hangingChars="1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3）按照项目变更要求，将变更的项目信息资料，填入相应的输入框中。信息输入过程中，系统将随输入及时验证输入内容的合法性，并以红色提示文字提示录入问题。</w:t>
      </w:r>
    </w:p>
    <w:p>
      <w:pPr>
        <w:spacing w:line="360" w:lineRule="auto"/>
        <w:ind w:left="240" w:hanging="240" w:hangingChars="1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4）点击“暂存”按钮，系统会将已填写的变更信息保存到系统中，方便以后继续填写，此时项目为“草稿”状态。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5）必填信息填写完成，并验证通过后，点击“提交”按钮提交项目，点击“确定”按钮，系统会将项目提交到所属单位进行审批。提交成功后，项目将不允许再进行修改。</w:t>
      </w:r>
    </w:p>
    <w:p>
      <w:pPr>
        <w:pStyle w:val="3"/>
      </w:pPr>
      <w:bookmarkStart w:id="10" w:name="_Toc9179"/>
      <w:r>
        <w:rPr>
          <w:rFonts w:hint="eastAsia"/>
        </w:rPr>
        <w:t>2、责任单位审核</w:t>
      </w:r>
      <w:bookmarkEnd w:id="10"/>
    </w:p>
    <w:p>
      <w:pPr>
        <w:pStyle w:val="20"/>
        <w:spacing w:line="360" w:lineRule="auto"/>
        <w:ind w:left="42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1）</w:t>
      </w:r>
      <w:r>
        <w:rPr>
          <w:rFonts w:asciiTheme="minorEastAsia" w:hAnsiTheme="minorEastAsia"/>
          <w:sz w:val="24"/>
          <w:szCs w:val="24"/>
        </w:rPr>
        <w:t>已登录到</w:t>
      </w:r>
      <w:r>
        <w:rPr>
          <w:rFonts w:hint="eastAsia" w:asciiTheme="minorEastAsia" w:hAnsiTheme="minorEastAsia"/>
          <w:sz w:val="24"/>
          <w:szCs w:val="24"/>
        </w:rPr>
        <w:t>“项目管理系统”。</w:t>
      </w:r>
    </w:p>
    <w:p>
      <w:pPr>
        <w:pStyle w:val="20"/>
        <w:spacing w:line="360" w:lineRule="auto"/>
        <w:ind w:left="420" w:firstLine="0" w:firstLineChars="0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2）点击左侧功能菜单“项目管理”模块下的“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项目变更</w:t>
      </w:r>
      <w:r>
        <w:rPr>
          <w:rFonts w:hint="eastAsia" w:asciiTheme="minorEastAsia" w:hAnsiTheme="minorEastAsia"/>
          <w:sz w:val="24"/>
          <w:szCs w:val="24"/>
        </w:rPr>
        <w:t>”菜单，进入项目变更界面</w:t>
      </w:r>
      <w:r>
        <w:rPr>
          <w:rFonts w:hint="eastAsia"/>
          <w:sz w:val="24"/>
          <w:szCs w:val="24"/>
        </w:rPr>
        <w:t>“待审核”类型下，选择需要审核的数据，然后点击“审核”进入审核结果页面，输入审核人姓名、联系方式、审批意见后点击“审核通过”，即审批成功数据进入省级单位审核</w:t>
      </w:r>
      <w:r>
        <w:rPr>
          <w:rFonts w:hint="eastAsia" w:asciiTheme="minorEastAsia" w:hAnsiTheme="minorEastAsia"/>
          <w:sz w:val="24"/>
          <w:szCs w:val="24"/>
        </w:rPr>
        <w:t>。（如图</w:t>
      </w:r>
      <w:r>
        <w:rPr>
          <w:rFonts w:asciiTheme="minorEastAsia" w:hAnsiTheme="minorEastAsia"/>
          <w:sz w:val="24"/>
          <w:szCs w:val="24"/>
        </w:rPr>
        <w:t>6.1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hint="eastAsia" w:asciiTheme="minorEastAsia" w:hAnsiTheme="minorEastAsia"/>
          <w:sz w:val="24"/>
          <w:szCs w:val="24"/>
        </w:rPr>
        <w:t>）：</w:t>
      </w:r>
    </w:p>
    <w:p>
      <w:pPr>
        <w:spacing w:line="360" w:lineRule="auto"/>
        <w:ind w:firstLine="210" w:firstLineChars="100"/>
        <w:jc w:val="center"/>
      </w:pPr>
      <w:r>
        <w:drawing>
          <wp:inline distT="0" distB="0" distL="0" distR="0">
            <wp:extent cx="4693920" cy="229489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71" cy="22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asciiTheme="minorEastAsia" w:hAnsiTheme="minorEastAsia"/>
          <w:sz w:val="24"/>
          <w:szCs w:val="24"/>
        </w:rPr>
        <w:t>6.1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</w:rPr>
        <w:t>项目变更</w:t>
      </w:r>
      <w:r>
        <w:rPr>
          <w:rFonts w:asciiTheme="minorEastAsia" w:hAnsiTheme="minorEastAsia"/>
        </w:rPr>
        <w:t>界面</w:t>
      </w:r>
    </w:p>
    <w:p>
      <w:pPr>
        <w:pStyle w:val="20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选择“审核通过”，即审核完成数据进入到省级单位审核；</w:t>
      </w:r>
    </w:p>
    <w:p>
      <w:pPr>
        <w:pStyle w:val="20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选择“审核不通过”，即审核完成项目变更流程结束；</w:t>
      </w:r>
    </w:p>
    <w:p>
      <w:pPr>
        <w:numPr>
          <w:ilvl w:val="0"/>
          <w:numId w:val="7"/>
        </w:numPr>
        <w:spacing w:line="360" w:lineRule="auto"/>
        <w:ind w:left="840" w:leftChars="0" w:hanging="360" w:firstLineChars="0"/>
        <w:rPr>
          <w:rFonts w:hint="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如果省级单位已经审核通过，则项目在“已通过”类型下查看；如果省级单位审核未通过，则项目在“未通过”类型下查看</w:t>
      </w:r>
      <w:r>
        <w:rPr>
          <w:rFonts w:hint="eastAsia"/>
          <w:sz w:val="24"/>
          <w:szCs w:val="24"/>
        </w:rPr>
        <w:t>。</w:t>
      </w:r>
    </w:p>
    <w:p>
      <w:pPr>
        <w:pStyle w:val="2"/>
        <w:rPr>
          <w:rFonts w:asciiTheme="majorEastAsia" w:hAnsiTheme="majorEastAsia" w:eastAsiaTheme="majorEastAsia"/>
          <w:color w:val="auto"/>
        </w:rPr>
      </w:pPr>
      <w:bookmarkStart w:id="11" w:name="_Toc18728"/>
      <w:r>
        <w:rPr>
          <w:rFonts w:hint="eastAsia" w:asciiTheme="majorEastAsia" w:hAnsiTheme="majorEastAsia" w:eastAsiaTheme="majorEastAsia"/>
          <w:color w:val="auto"/>
          <w:lang w:val="en-US" w:eastAsia="zh-CN"/>
        </w:rPr>
        <w:t>五</w:t>
      </w:r>
      <w:r>
        <w:rPr>
          <w:rFonts w:hint="eastAsia" w:asciiTheme="majorEastAsia" w:hAnsiTheme="majorEastAsia" w:eastAsiaTheme="majorEastAsia"/>
          <w:color w:val="auto"/>
        </w:rPr>
        <w:t>、结项鉴定不通过二次结项流程</w:t>
      </w:r>
      <w:bookmarkEnd w:id="11"/>
    </w:p>
    <w:p>
      <w:pPr>
        <w:spacing w:line="360" w:lineRule="auto"/>
        <w:ind w:firstLine="42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结项项目鉴定不通过，申报人可以二次结项，继续发起结项申请。</w:t>
      </w:r>
    </w:p>
    <w:p>
      <w:pPr>
        <w:pStyle w:val="3"/>
      </w:pPr>
      <w:bookmarkStart w:id="12" w:name="_Toc1971"/>
      <w:r>
        <w:rPr>
          <w:rFonts w:hint="eastAsia"/>
        </w:rPr>
        <w:t>1、申报人申请</w:t>
      </w:r>
      <w:bookmarkEnd w:id="12"/>
    </w:p>
    <w:p>
      <w:pPr>
        <w:pStyle w:val="20"/>
        <w:spacing w:line="360" w:lineRule="auto"/>
        <w:ind w:left="420" w:firstLine="0"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1）已登录到“项目管理系统”。</w:t>
      </w:r>
    </w:p>
    <w:p>
      <w:pPr>
        <w:pStyle w:val="20"/>
        <w:spacing w:line="360" w:lineRule="auto"/>
        <w:ind w:left="420" w:firstLine="0"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2）点击左侧功能菜单“项目管理”模块下的“结项项目”菜单，进入结项项目界面，点击“二次结项”按钮（如图5.1-1所示）：</w:t>
      </w:r>
    </w:p>
    <w:p>
      <w:pPr>
        <w:spacing w:line="360" w:lineRule="auto"/>
        <w:ind w:left="525" w:leftChars="200" w:hanging="105" w:hangingChars="50"/>
        <w:rPr>
          <w:rFonts w:hint="eastAsia"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15255" cy="2510790"/>
            <wp:effectExtent l="0" t="0" r="4445" b="3810"/>
            <wp:docPr id="1224081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8194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030" cy="251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4"/>
          <w:szCs w:val="24"/>
        </w:rPr>
        <w:t>(</w:t>
      </w:r>
      <w:r>
        <w:rPr>
          <w:rFonts w:asciiTheme="majorEastAsia" w:hAnsiTheme="majorEastAsia" w:eastAsiaTheme="majorEastAsia"/>
          <w:sz w:val="24"/>
          <w:szCs w:val="24"/>
        </w:rPr>
        <w:t>1)</w:t>
      </w:r>
      <w:r>
        <w:rPr>
          <w:rFonts w:hint="eastAsia" w:asciiTheme="majorEastAsia" w:hAnsiTheme="majorEastAsia" w:eastAsiaTheme="majorEastAsia"/>
          <w:sz w:val="24"/>
          <w:szCs w:val="24"/>
        </w:rPr>
        <w:t>重新填写结项申请(结项类型、结项报告</w:t>
      </w:r>
      <w:r>
        <w:rPr>
          <w:rFonts w:asciiTheme="majorEastAsia" w:hAnsiTheme="majorEastAsia" w:eastAsiaTheme="majorEastAsia"/>
          <w:sz w:val="24"/>
          <w:szCs w:val="24"/>
        </w:rPr>
        <w:t>)</w:t>
      </w:r>
    </w:p>
    <w:p>
      <w:pPr>
        <w:ind w:firstLine="315" w:firstLineChars="150"/>
        <w:jc w:val="center"/>
      </w:pPr>
      <w:r>
        <w:drawing>
          <wp:inline distT="0" distB="0" distL="0" distR="0">
            <wp:extent cx="5274310" cy="2185035"/>
            <wp:effectExtent l="0" t="0" r="8890" b="12065"/>
            <wp:docPr id="2064922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2262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5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(</w:t>
      </w:r>
      <w:r>
        <w:rPr>
          <w:rFonts w:asciiTheme="majorEastAsia" w:hAnsiTheme="majorEastAsia" w:eastAsiaTheme="majorEastAsia"/>
          <w:sz w:val="24"/>
          <w:szCs w:val="24"/>
        </w:rPr>
        <w:t>2)</w:t>
      </w:r>
      <w:r>
        <w:rPr>
          <w:rFonts w:hint="eastAsia" w:asciiTheme="majorEastAsia" w:hAnsiTheme="majorEastAsia" w:eastAsiaTheme="majorEastAsia"/>
          <w:sz w:val="24"/>
          <w:szCs w:val="24"/>
        </w:rPr>
        <w:t>成果简介</w:t>
      </w:r>
    </w:p>
    <w:p>
      <w:pPr>
        <w:ind w:firstLine="315" w:firstLineChars="150"/>
        <w:jc w:val="center"/>
      </w:pPr>
      <w:r>
        <w:drawing>
          <wp:inline distT="0" distB="0" distL="0" distR="0">
            <wp:extent cx="5274310" cy="1473200"/>
            <wp:effectExtent l="0" t="0" r="8890" b="0"/>
            <wp:docPr id="1889596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9676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5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(</w:t>
      </w:r>
      <w:r>
        <w:rPr>
          <w:rFonts w:asciiTheme="majorEastAsia" w:hAnsiTheme="majorEastAsia" w:eastAsiaTheme="majorEastAsia"/>
          <w:sz w:val="24"/>
          <w:szCs w:val="24"/>
        </w:rPr>
        <w:t>3)</w:t>
      </w:r>
      <w:r>
        <w:rPr>
          <w:rFonts w:hint="eastAsia" w:asciiTheme="majorEastAsia" w:hAnsiTheme="majorEastAsia" w:eastAsiaTheme="majorEastAsia"/>
          <w:sz w:val="24"/>
          <w:szCs w:val="24"/>
        </w:rPr>
        <w:t>结项佐证</w:t>
      </w:r>
    </w:p>
    <w:p>
      <w:pPr>
        <w:ind w:firstLine="420" w:firstLineChars="200"/>
      </w:pPr>
      <w:r>
        <w:drawing>
          <wp:inline distT="0" distB="0" distL="0" distR="0">
            <wp:extent cx="5274310" cy="1398905"/>
            <wp:effectExtent l="0" t="0" r="8890" b="10795"/>
            <wp:docPr id="278385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8595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3）按照项目申请要求，将项目申请资料，填入相应的输入框中。信息输入过程中，系统将随输入及时验证输入内容的合法性，并以红色提示文字提示录入问题。</w:t>
      </w:r>
    </w:p>
    <w:p>
      <w:pPr>
        <w:spacing w:line="360" w:lineRule="auto"/>
        <w:ind w:left="24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4）点击“暂存”按钮，系统会将已填写的申请信息保存到系统中，方便以后继续填写，此时项目为“草稿”状态。</w:t>
      </w:r>
    </w:p>
    <w:p>
      <w:pPr>
        <w:spacing w:line="360" w:lineRule="auto"/>
        <w:ind w:left="24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5</w:t>
      </w:r>
      <w:r>
        <w:rPr>
          <w:rFonts w:hint="eastAsia" w:asciiTheme="majorEastAsia" w:hAnsiTheme="majorEastAsia" w:eastAsiaTheme="majorEastAsia"/>
          <w:sz w:val="24"/>
          <w:szCs w:val="24"/>
        </w:rPr>
        <w:t>）必填信息填写完成，并验证通过后，点击“提交”按钮提交项目，点击“确定”按钮，系统会将项目提交到所属单位进行审批。提交成功后，项目将不允许再进行修改。</w:t>
      </w:r>
    </w:p>
    <w:p>
      <w:pPr>
        <w:pStyle w:val="3"/>
        <w:rPr>
          <w:rFonts w:hint="eastAsia"/>
        </w:rPr>
      </w:pPr>
      <w:bookmarkStart w:id="13" w:name="_Toc25001"/>
      <w:r>
        <w:rPr>
          <w:rFonts w:hint="eastAsia"/>
          <w:lang w:val="en-US" w:eastAsia="zh-CN"/>
        </w:rPr>
        <w:t>2、</w:t>
      </w:r>
      <w:r>
        <w:rPr>
          <w:rFonts w:hint="eastAsia"/>
        </w:rPr>
        <w:t>责任单位审核</w:t>
      </w:r>
      <w:bookmarkEnd w:id="13"/>
    </w:p>
    <w:p>
      <w:pPr>
        <w:spacing w:line="360" w:lineRule="auto"/>
        <w:jc w:val="left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 xml:space="preserve">    责任单位按照《河北省文化艺术科学规划和旅游研究项目管理系统使用手册 (责任单位角色)》有关要求审核提交本单位项目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。</w:t>
      </w:r>
    </w:p>
    <w:p>
      <w:pPr>
        <w:spacing w:line="360" w:lineRule="auto"/>
        <w:ind w:left="240"/>
        <w:rPr>
          <w:rFonts w:hint="eastAsia" w:asciiTheme="majorEastAsia" w:hAnsiTheme="majorEastAsia" w:eastAsiaTheme="majorEastAsia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asciiTheme="minorEastAsia" w:hAnsiTheme="minorEastAsia"/>
        <w:color w:val="000000" w:themeColor="text1"/>
      </w:rPr>
    </w:pPr>
    <w:r>
      <w:rPr>
        <w:rFonts w:asciiTheme="minorEastAsia" w:hAnsiTheme="minorEastAsia"/>
        <w:color w:val="000000" w:themeColor="text1"/>
      </w:rPr>
      <w:fldChar w:fldCharType="begin"/>
    </w:r>
    <w:r>
      <w:rPr>
        <w:rFonts w:asciiTheme="minorEastAsia" w:hAnsiTheme="minorEastAsia"/>
        <w:color w:val="000000" w:themeColor="text1"/>
      </w:rPr>
      <w:instrText xml:space="preserve">PAGE  \* Arabic  \* MERGEFORMAT</w:instrText>
    </w:r>
    <w:r>
      <w:rPr>
        <w:rFonts w:asciiTheme="minorEastAsia" w:hAnsiTheme="minorEastAsia"/>
        <w:color w:val="000000" w:themeColor="text1"/>
      </w:rPr>
      <w:fldChar w:fldCharType="separate"/>
    </w:r>
    <w:r>
      <w:rPr>
        <w:rFonts w:asciiTheme="minorEastAsia" w:hAnsiTheme="minorEastAsia"/>
        <w:color w:val="000000" w:themeColor="text1"/>
        <w:lang w:val="zh-CN"/>
      </w:rPr>
      <w:t>14</w:t>
    </w:r>
    <w:r>
      <w:rPr>
        <w:rFonts w:asciiTheme="minorEastAsia" w:hAnsiTheme="minorEastAsia"/>
        <w:color w:val="000000" w:themeColor="text1"/>
      </w:rPr>
      <w:fldChar w:fldCharType="end"/>
    </w:r>
    <w:r>
      <w:rPr>
        <w:rFonts w:asciiTheme="minorEastAsia" w:hAnsiTheme="minorEastAsia"/>
        <w:color w:val="000000" w:themeColor="text1"/>
        <w:lang w:val="zh-CN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rFonts w:asciiTheme="minorEastAsia" w:hAnsiTheme="minorEastAsia"/>
        <w:color w:val="000000" w:themeColor="text1"/>
        <w:lang w:val="zh-CN"/>
      </w:rPr>
      <w:t>27</w:t>
    </w:r>
    <w:r>
      <w:rPr>
        <w:rFonts w:asciiTheme="minorEastAsia" w:hAnsiTheme="minorEastAsia"/>
        <w:color w:val="000000" w:themeColor="text1"/>
        <w:lang w:val="zh-CN"/>
      </w:rPr>
      <w:fldChar w:fldCharType="end"/>
    </w: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D9434E"/>
    <w:multiLevelType w:val="multilevel"/>
    <w:tmpl w:val="19D9434E"/>
    <w:lvl w:ilvl="0" w:tentative="0">
      <w:start w:val="1"/>
      <w:numFmt w:val="decimalEnclosedParen"/>
      <w:lvlText w:val="%1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8" w:hanging="420"/>
      </w:pPr>
    </w:lvl>
    <w:lvl w:ilvl="2" w:tentative="0">
      <w:start w:val="1"/>
      <w:numFmt w:val="lowerRoman"/>
      <w:lvlText w:val="%3."/>
      <w:lvlJc w:val="right"/>
      <w:pPr>
        <w:ind w:left="1968" w:hanging="420"/>
      </w:pPr>
    </w:lvl>
    <w:lvl w:ilvl="3" w:tentative="0">
      <w:start w:val="1"/>
      <w:numFmt w:val="decimal"/>
      <w:lvlText w:val="%4."/>
      <w:lvlJc w:val="left"/>
      <w:pPr>
        <w:ind w:left="2388" w:hanging="420"/>
      </w:pPr>
    </w:lvl>
    <w:lvl w:ilvl="4" w:tentative="0">
      <w:start w:val="1"/>
      <w:numFmt w:val="lowerLetter"/>
      <w:lvlText w:val="%5)"/>
      <w:lvlJc w:val="left"/>
      <w:pPr>
        <w:ind w:left="2808" w:hanging="420"/>
      </w:pPr>
    </w:lvl>
    <w:lvl w:ilvl="5" w:tentative="0">
      <w:start w:val="1"/>
      <w:numFmt w:val="lowerRoman"/>
      <w:lvlText w:val="%6."/>
      <w:lvlJc w:val="right"/>
      <w:pPr>
        <w:ind w:left="3228" w:hanging="420"/>
      </w:pPr>
    </w:lvl>
    <w:lvl w:ilvl="6" w:tentative="0">
      <w:start w:val="1"/>
      <w:numFmt w:val="decimal"/>
      <w:lvlText w:val="%7."/>
      <w:lvlJc w:val="left"/>
      <w:pPr>
        <w:ind w:left="3648" w:hanging="420"/>
      </w:pPr>
    </w:lvl>
    <w:lvl w:ilvl="7" w:tentative="0">
      <w:start w:val="1"/>
      <w:numFmt w:val="lowerLetter"/>
      <w:lvlText w:val="%8)"/>
      <w:lvlJc w:val="left"/>
      <w:pPr>
        <w:ind w:left="4068" w:hanging="420"/>
      </w:pPr>
    </w:lvl>
    <w:lvl w:ilvl="8" w:tentative="0">
      <w:start w:val="1"/>
      <w:numFmt w:val="lowerRoman"/>
      <w:lvlText w:val="%9."/>
      <w:lvlJc w:val="right"/>
      <w:pPr>
        <w:ind w:left="4488" w:hanging="420"/>
      </w:pPr>
    </w:lvl>
  </w:abstractNum>
  <w:abstractNum w:abstractNumId="1">
    <w:nsid w:val="34B95792"/>
    <w:multiLevelType w:val="multilevel"/>
    <w:tmpl w:val="34B95792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6EE127A"/>
    <w:multiLevelType w:val="multilevel"/>
    <w:tmpl w:val="36EE127A"/>
    <w:lvl w:ilvl="0" w:tentative="0">
      <w:start w:val="1"/>
      <w:numFmt w:val="decimalEnclosedParen"/>
      <w:lvlText w:val="%1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8" w:hanging="420"/>
      </w:pPr>
    </w:lvl>
    <w:lvl w:ilvl="2" w:tentative="0">
      <w:start w:val="1"/>
      <w:numFmt w:val="lowerRoman"/>
      <w:lvlText w:val="%3."/>
      <w:lvlJc w:val="right"/>
      <w:pPr>
        <w:ind w:left="1968" w:hanging="420"/>
      </w:pPr>
    </w:lvl>
    <w:lvl w:ilvl="3" w:tentative="0">
      <w:start w:val="1"/>
      <w:numFmt w:val="decimal"/>
      <w:lvlText w:val="%4."/>
      <w:lvlJc w:val="left"/>
      <w:pPr>
        <w:ind w:left="2388" w:hanging="420"/>
      </w:pPr>
    </w:lvl>
    <w:lvl w:ilvl="4" w:tentative="0">
      <w:start w:val="1"/>
      <w:numFmt w:val="lowerLetter"/>
      <w:lvlText w:val="%5)"/>
      <w:lvlJc w:val="left"/>
      <w:pPr>
        <w:ind w:left="2808" w:hanging="420"/>
      </w:pPr>
    </w:lvl>
    <w:lvl w:ilvl="5" w:tentative="0">
      <w:start w:val="1"/>
      <w:numFmt w:val="lowerRoman"/>
      <w:lvlText w:val="%6."/>
      <w:lvlJc w:val="right"/>
      <w:pPr>
        <w:ind w:left="3228" w:hanging="420"/>
      </w:pPr>
    </w:lvl>
    <w:lvl w:ilvl="6" w:tentative="0">
      <w:start w:val="1"/>
      <w:numFmt w:val="decimal"/>
      <w:lvlText w:val="%7."/>
      <w:lvlJc w:val="left"/>
      <w:pPr>
        <w:ind w:left="3648" w:hanging="420"/>
      </w:pPr>
    </w:lvl>
    <w:lvl w:ilvl="7" w:tentative="0">
      <w:start w:val="1"/>
      <w:numFmt w:val="lowerLetter"/>
      <w:lvlText w:val="%8)"/>
      <w:lvlJc w:val="left"/>
      <w:pPr>
        <w:ind w:left="4068" w:hanging="420"/>
      </w:pPr>
    </w:lvl>
    <w:lvl w:ilvl="8" w:tentative="0">
      <w:start w:val="1"/>
      <w:numFmt w:val="lowerRoman"/>
      <w:lvlText w:val="%9."/>
      <w:lvlJc w:val="right"/>
      <w:pPr>
        <w:ind w:left="4488" w:hanging="420"/>
      </w:pPr>
    </w:lvl>
  </w:abstractNum>
  <w:abstractNum w:abstractNumId="3">
    <w:nsid w:val="38513675"/>
    <w:multiLevelType w:val="multilevel"/>
    <w:tmpl w:val="38513675"/>
    <w:lvl w:ilvl="0" w:tentative="0">
      <w:start w:val="1"/>
      <w:numFmt w:val="decimal"/>
      <w:lvlText w:val="（%1）"/>
      <w:lvlJc w:val="left"/>
      <w:pPr>
        <w:ind w:left="1429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abstractNum w:abstractNumId="4">
    <w:nsid w:val="5BC60D62"/>
    <w:multiLevelType w:val="multilevel"/>
    <w:tmpl w:val="5BC60D62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56" w:hanging="420"/>
      </w:pPr>
    </w:lvl>
    <w:lvl w:ilvl="2" w:tentative="0">
      <w:start w:val="1"/>
      <w:numFmt w:val="lowerRoman"/>
      <w:lvlText w:val="%3."/>
      <w:lvlJc w:val="right"/>
      <w:pPr>
        <w:ind w:left="1776" w:hanging="420"/>
      </w:pPr>
    </w:lvl>
    <w:lvl w:ilvl="3" w:tentative="0">
      <w:start w:val="1"/>
      <w:numFmt w:val="decimal"/>
      <w:lvlText w:val="%4."/>
      <w:lvlJc w:val="left"/>
      <w:pPr>
        <w:ind w:left="2196" w:hanging="420"/>
      </w:pPr>
    </w:lvl>
    <w:lvl w:ilvl="4" w:tentative="0">
      <w:start w:val="1"/>
      <w:numFmt w:val="lowerLetter"/>
      <w:lvlText w:val="%5)"/>
      <w:lvlJc w:val="left"/>
      <w:pPr>
        <w:ind w:left="2616" w:hanging="420"/>
      </w:pPr>
    </w:lvl>
    <w:lvl w:ilvl="5" w:tentative="0">
      <w:start w:val="1"/>
      <w:numFmt w:val="lowerRoman"/>
      <w:lvlText w:val="%6."/>
      <w:lvlJc w:val="right"/>
      <w:pPr>
        <w:ind w:left="3036" w:hanging="420"/>
      </w:pPr>
    </w:lvl>
    <w:lvl w:ilvl="6" w:tentative="0">
      <w:start w:val="1"/>
      <w:numFmt w:val="decimal"/>
      <w:lvlText w:val="%7."/>
      <w:lvlJc w:val="left"/>
      <w:pPr>
        <w:ind w:left="3456" w:hanging="420"/>
      </w:pPr>
    </w:lvl>
    <w:lvl w:ilvl="7" w:tentative="0">
      <w:start w:val="1"/>
      <w:numFmt w:val="lowerLetter"/>
      <w:lvlText w:val="%8)"/>
      <w:lvlJc w:val="left"/>
      <w:pPr>
        <w:ind w:left="3876" w:hanging="420"/>
      </w:pPr>
    </w:lvl>
    <w:lvl w:ilvl="8" w:tentative="0">
      <w:start w:val="1"/>
      <w:numFmt w:val="lowerRoman"/>
      <w:lvlText w:val="%9."/>
      <w:lvlJc w:val="right"/>
      <w:pPr>
        <w:ind w:left="4296" w:hanging="420"/>
      </w:pPr>
    </w:lvl>
  </w:abstractNum>
  <w:abstractNum w:abstractNumId="5">
    <w:nsid w:val="7C11789D"/>
    <w:multiLevelType w:val="multilevel"/>
    <w:tmpl w:val="7C11789D"/>
    <w:lvl w:ilvl="0" w:tentative="0">
      <w:start w:val="1"/>
      <w:numFmt w:val="decimal"/>
      <w:lvlText w:val="%1）"/>
      <w:lvlJc w:val="left"/>
      <w:pPr>
        <w:ind w:left="840" w:hanging="360"/>
      </w:pPr>
      <w:rPr>
        <w:rFonts w:asciiTheme="minorEastAsia" w:hAnsiTheme="minorEastAsia" w:eastAsiaTheme="minorEastAsia" w:cstheme="minorBidi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7D254861"/>
    <w:multiLevelType w:val="multilevel"/>
    <w:tmpl w:val="7D254861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56" w:hanging="420"/>
      </w:pPr>
    </w:lvl>
    <w:lvl w:ilvl="2" w:tentative="0">
      <w:start w:val="1"/>
      <w:numFmt w:val="lowerRoman"/>
      <w:lvlText w:val="%3."/>
      <w:lvlJc w:val="right"/>
      <w:pPr>
        <w:ind w:left="1776" w:hanging="420"/>
      </w:pPr>
    </w:lvl>
    <w:lvl w:ilvl="3" w:tentative="0">
      <w:start w:val="1"/>
      <w:numFmt w:val="decimal"/>
      <w:lvlText w:val="%4."/>
      <w:lvlJc w:val="left"/>
      <w:pPr>
        <w:ind w:left="2196" w:hanging="420"/>
      </w:pPr>
    </w:lvl>
    <w:lvl w:ilvl="4" w:tentative="0">
      <w:start w:val="1"/>
      <w:numFmt w:val="lowerLetter"/>
      <w:lvlText w:val="%5)"/>
      <w:lvlJc w:val="left"/>
      <w:pPr>
        <w:ind w:left="2616" w:hanging="420"/>
      </w:pPr>
    </w:lvl>
    <w:lvl w:ilvl="5" w:tentative="0">
      <w:start w:val="1"/>
      <w:numFmt w:val="lowerRoman"/>
      <w:lvlText w:val="%6."/>
      <w:lvlJc w:val="right"/>
      <w:pPr>
        <w:ind w:left="3036" w:hanging="420"/>
      </w:pPr>
    </w:lvl>
    <w:lvl w:ilvl="6" w:tentative="0">
      <w:start w:val="1"/>
      <w:numFmt w:val="decimal"/>
      <w:lvlText w:val="%7."/>
      <w:lvlJc w:val="left"/>
      <w:pPr>
        <w:ind w:left="3456" w:hanging="420"/>
      </w:pPr>
    </w:lvl>
    <w:lvl w:ilvl="7" w:tentative="0">
      <w:start w:val="1"/>
      <w:numFmt w:val="lowerLetter"/>
      <w:lvlText w:val="%8)"/>
      <w:lvlJc w:val="left"/>
      <w:pPr>
        <w:ind w:left="3876" w:hanging="420"/>
      </w:pPr>
    </w:lvl>
    <w:lvl w:ilvl="8" w:tentative="0">
      <w:start w:val="1"/>
      <w:numFmt w:val="lowerRoman"/>
      <w:lvlText w:val="%9."/>
      <w:lvlJc w:val="right"/>
      <w:pPr>
        <w:ind w:left="4296" w:hanging="42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kwMmNhODM5ZDc4MTQ1MzYxZmI0NWVmYTlkYzY5NTAifQ=="/>
  </w:docVars>
  <w:rsids>
    <w:rsidRoot w:val="006B472C"/>
    <w:rsid w:val="000168CD"/>
    <w:rsid w:val="0002362A"/>
    <w:rsid w:val="0007060B"/>
    <w:rsid w:val="000862D7"/>
    <w:rsid w:val="000867D2"/>
    <w:rsid w:val="000B79AE"/>
    <w:rsid w:val="000C6841"/>
    <w:rsid w:val="00125109"/>
    <w:rsid w:val="00151637"/>
    <w:rsid w:val="00154D10"/>
    <w:rsid w:val="00164BA9"/>
    <w:rsid w:val="00184B5A"/>
    <w:rsid w:val="00197F71"/>
    <w:rsid w:val="001A6CD5"/>
    <w:rsid w:val="001A76B8"/>
    <w:rsid w:val="001F1990"/>
    <w:rsid w:val="001F4C5B"/>
    <w:rsid w:val="00210CBA"/>
    <w:rsid w:val="00222915"/>
    <w:rsid w:val="002348FA"/>
    <w:rsid w:val="00254F27"/>
    <w:rsid w:val="00271D5F"/>
    <w:rsid w:val="00283B8A"/>
    <w:rsid w:val="00294ACC"/>
    <w:rsid w:val="002A4746"/>
    <w:rsid w:val="002B4815"/>
    <w:rsid w:val="002D3389"/>
    <w:rsid w:val="00302066"/>
    <w:rsid w:val="00305C42"/>
    <w:rsid w:val="00310B83"/>
    <w:rsid w:val="00330FD4"/>
    <w:rsid w:val="00344FF8"/>
    <w:rsid w:val="0035371C"/>
    <w:rsid w:val="00354BC4"/>
    <w:rsid w:val="00361169"/>
    <w:rsid w:val="00363E22"/>
    <w:rsid w:val="003A2A62"/>
    <w:rsid w:val="003C5F19"/>
    <w:rsid w:val="003D614B"/>
    <w:rsid w:val="003F03EC"/>
    <w:rsid w:val="004545EF"/>
    <w:rsid w:val="00457E83"/>
    <w:rsid w:val="00490CB2"/>
    <w:rsid w:val="00491263"/>
    <w:rsid w:val="004A715D"/>
    <w:rsid w:val="004C07D7"/>
    <w:rsid w:val="004C1B29"/>
    <w:rsid w:val="004D7AEF"/>
    <w:rsid w:val="004F2E07"/>
    <w:rsid w:val="005003F4"/>
    <w:rsid w:val="0058128B"/>
    <w:rsid w:val="005B0EE8"/>
    <w:rsid w:val="005C085B"/>
    <w:rsid w:val="005C350B"/>
    <w:rsid w:val="005D1DE7"/>
    <w:rsid w:val="005D5042"/>
    <w:rsid w:val="005D5315"/>
    <w:rsid w:val="0062748D"/>
    <w:rsid w:val="00652F9E"/>
    <w:rsid w:val="0065592C"/>
    <w:rsid w:val="00663707"/>
    <w:rsid w:val="006641EB"/>
    <w:rsid w:val="00676B80"/>
    <w:rsid w:val="00684940"/>
    <w:rsid w:val="00686045"/>
    <w:rsid w:val="00697CAC"/>
    <w:rsid w:val="006B472C"/>
    <w:rsid w:val="006B751F"/>
    <w:rsid w:val="006C1FEA"/>
    <w:rsid w:val="006E4227"/>
    <w:rsid w:val="006E732B"/>
    <w:rsid w:val="006F15B6"/>
    <w:rsid w:val="0070114E"/>
    <w:rsid w:val="00722447"/>
    <w:rsid w:val="0073241A"/>
    <w:rsid w:val="007409B5"/>
    <w:rsid w:val="00753E22"/>
    <w:rsid w:val="00760CFF"/>
    <w:rsid w:val="007A516C"/>
    <w:rsid w:val="007B38A3"/>
    <w:rsid w:val="00804321"/>
    <w:rsid w:val="00822FE5"/>
    <w:rsid w:val="00875184"/>
    <w:rsid w:val="00891908"/>
    <w:rsid w:val="008A0FC0"/>
    <w:rsid w:val="008E4B78"/>
    <w:rsid w:val="008E4D43"/>
    <w:rsid w:val="009124CC"/>
    <w:rsid w:val="009659FC"/>
    <w:rsid w:val="00965DD3"/>
    <w:rsid w:val="009809C6"/>
    <w:rsid w:val="00982EA4"/>
    <w:rsid w:val="009E091C"/>
    <w:rsid w:val="009F6317"/>
    <w:rsid w:val="00A62808"/>
    <w:rsid w:val="00A702D9"/>
    <w:rsid w:val="00A90B19"/>
    <w:rsid w:val="00AC41AE"/>
    <w:rsid w:val="00B03029"/>
    <w:rsid w:val="00B05E00"/>
    <w:rsid w:val="00B2503C"/>
    <w:rsid w:val="00B30902"/>
    <w:rsid w:val="00B35FAA"/>
    <w:rsid w:val="00B40008"/>
    <w:rsid w:val="00BB46DB"/>
    <w:rsid w:val="00BD108B"/>
    <w:rsid w:val="00BF2D28"/>
    <w:rsid w:val="00C11AAF"/>
    <w:rsid w:val="00C32B61"/>
    <w:rsid w:val="00C363DC"/>
    <w:rsid w:val="00C37EB0"/>
    <w:rsid w:val="00C977DC"/>
    <w:rsid w:val="00CC4276"/>
    <w:rsid w:val="00CE23BB"/>
    <w:rsid w:val="00D07B0C"/>
    <w:rsid w:val="00D37078"/>
    <w:rsid w:val="00D6145C"/>
    <w:rsid w:val="00D74CE1"/>
    <w:rsid w:val="00DB7999"/>
    <w:rsid w:val="00DF28EC"/>
    <w:rsid w:val="00E1265E"/>
    <w:rsid w:val="00E445D8"/>
    <w:rsid w:val="00E808F0"/>
    <w:rsid w:val="00E8250B"/>
    <w:rsid w:val="00EA1566"/>
    <w:rsid w:val="00EB69D8"/>
    <w:rsid w:val="00ED2021"/>
    <w:rsid w:val="00ED3149"/>
    <w:rsid w:val="00F52CF9"/>
    <w:rsid w:val="00FD6815"/>
    <w:rsid w:val="00FE0457"/>
    <w:rsid w:val="00FE30F4"/>
    <w:rsid w:val="00FF176D"/>
    <w:rsid w:val="00FF6F16"/>
    <w:rsid w:val="01521EA0"/>
    <w:rsid w:val="026E5982"/>
    <w:rsid w:val="03B63A6C"/>
    <w:rsid w:val="04F73DAA"/>
    <w:rsid w:val="06344057"/>
    <w:rsid w:val="06D7510F"/>
    <w:rsid w:val="08242E0E"/>
    <w:rsid w:val="082B7A28"/>
    <w:rsid w:val="09421DDF"/>
    <w:rsid w:val="09EA33AB"/>
    <w:rsid w:val="0AFA3217"/>
    <w:rsid w:val="0B1D155E"/>
    <w:rsid w:val="0D4252AC"/>
    <w:rsid w:val="0DC108C7"/>
    <w:rsid w:val="0F0A49B7"/>
    <w:rsid w:val="10DA3D8C"/>
    <w:rsid w:val="11C20769"/>
    <w:rsid w:val="11D02E86"/>
    <w:rsid w:val="159E329B"/>
    <w:rsid w:val="161C2B3E"/>
    <w:rsid w:val="16EF2001"/>
    <w:rsid w:val="172123D6"/>
    <w:rsid w:val="183C162D"/>
    <w:rsid w:val="19640F79"/>
    <w:rsid w:val="1BEF4851"/>
    <w:rsid w:val="1C961170"/>
    <w:rsid w:val="1DF779ED"/>
    <w:rsid w:val="20180B70"/>
    <w:rsid w:val="210260FD"/>
    <w:rsid w:val="22CC31F6"/>
    <w:rsid w:val="244A09D9"/>
    <w:rsid w:val="250550E5"/>
    <w:rsid w:val="2C0E2AD1"/>
    <w:rsid w:val="2C410DAB"/>
    <w:rsid w:val="2F01469A"/>
    <w:rsid w:val="2F3A3BDD"/>
    <w:rsid w:val="31BB7257"/>
    <w:rsid w:val="375F3A8C"/>
    <w:rsid w:val="378360C0"/>
    <w:rsid w:val="37F0752F"/>
    <w:rsid w:val="3B225C51"/>
    <w:rsid w:val="3F9463AD"/>
    <w:rsid w:val="41FA5466"/>
    <w:rsid w:val="43AD0C66"/>
    <w:rsid w:val="45EC3A2B"/>
    <w:rsid w:val="471814B5"/>
    <w:rsid w:val="47FB61A8"/>
    <w:rsid w:val="4910358D"/>
    <w:rsid w:val="4EB66985"/>
    <w:rsid w:val="4EFF657E"/>
    <w:rsid w:val="537D5CC3"/>
    <w:rsid w:val="570109B9"/>
    <w:rsid w:val="579D5B93"/>
    <w:rsid w:val="58935F89"/>
    <w:rsid w:val="5A00764E"/>
    <w:rsid w:val="5B9A0A8F"/>
    <w:rsid w:val="631F6190"/>
    <w:rsid w:val="63B86B82"/>
    <w:rsid w:val="65156747"/>
    <w:rsid w:val="652D7AB2"/>
    <w:rsid w:val="65EC0A86"/>
    <w:rsid w:val="66976C44"/>
    <w:rsid w:val="67E91721"/>
    <w:rsid w:val="685748DD"/>
    <w:rsid w:val="68C65505"/>
    <w:rsid w:val="69247985"/>
    <w:rsid w:val="6A935974"/>
    <w:rsid w:val="6BC62339"/>
    <w:rsid w:val="70812E3F"/>
    <w:rsid w:val="70BC518F"/>
    <w:rsid w:val="7154596D"/>
    <w:rsid w:val="715F2A54"/>
    <w:rsid w:val="743B50B2"/>
    <w:rsid w:val="755521A4"/>
    <w:rsid w:val="75932CCC"/>
    <w:rsid w:val="785C7CED"/>
    <w:rsid w:val="787B0173"/>
    <w:rsid w:val="78DB3308"/>
    <w:rsid w:val="78EA52F9"/>
    <w:rsid w:val="7B2609D8"/>
    <w:rsid w:val="7E7E6C0F"/>
    <w:rsid w:val="7FAC73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autoRedefine/>
    <w:qFormat/>
    <w:uiPriority w:val="0"/>
    <w:pPr>
      <w:widowControl/>
      <w:adjustRightInd w:val="0"/>
      <w:snapToGrid w:val="0"/>
      <w:spacing w:after="200" w:line="288" w:lineRule="auto"/>
      <w:ind w:firstLine="420"/>
      <w:jc w:val="left"/>
    </w:pPr>
    <w:rPr>
      <w:rFonts w:ascii="Tahoma" w:hAnsi="Tahoma" w:eastAsia="宋体"/>
      <w:kern w:val="0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Hyperlink"/>
    <w:basedOn w:val="13"/>
    <w:autoRedefine/>
    <w:unhideWhenUsed/>
    <w:qFormat/>
    <w:uiPriority w:val="99"/>
    <w:rPr>
      <w:color w:val="0563C1" w:themeColor="hyperlink"/>
      <w:u w:val="single"/>
    </w:rPr>
  </w:style>
  <w:style w:type="character" w:customStyle="1" w:styleId="15">
    <w:name w:val="标题 1 Char"/>
    <w:basedOn w:val="13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3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Char"/>
    <w:basedOn w:val="13"/>
    <w:link w:val="4"/>
    <w:autoRedefine/>
    <w:qFormat/>
    <w:uiPriority w:val="9"/>
    <w:rPr>
      <w:b/>
      <w:bCs/>
      <w:sz w:val="32"/>
      <w:szCs w:val="32"/>
    </w:rPr>
  </w:style>
  <w:style w:type="character" w:customStyle="1" w:styleId="18">
    <w:name w:val="页脚 Char"/>
    <w:basedOn w:val="13"/>
    <w:link w:val="8"/>
    <w:autoRedefine/>
    <w:qFormat/>
    <w:uiPriority w:val="99"/>
    <w:rPr>
      <w:sz w:val="18"/>
      <w:szCs w:val="18"/>
    </w:rPr>
  </w:style>
  <w:style w:type="character" w:customStyle="1" w:styleId="19">
    <w:name w:val="页眉 Char"/>
    <w:basedOn w:val="13"/>
    <w:link w:val="9"/>
    <w:autoRedefine/>
    <w:qFormat/>
    <w:uiPriority w:val="99"/>
    <w:rPr>
      <w:sz w:val="18"/>
      <w:szCs w:val="18"/>
    </w:rPr>
  </w:style>
  <w:style w:type="paragraph" w:styleId="20">
    <w:name w:val="List Paragraph"/>
    <w:basedOn w:val="1"/>
    <w:autoRedefine/>
    <w:qFormat/>
    <w:uiPriority w:val="0"/>
    <w:pPr>
      <w:ind w:firstLine="420" w:firstLineChars="200"/>
    </w:pPr>
  </w:style>
  <w:style w:type="paragraph" w:customStyle="1" w:styleId="21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2">
    <w:name w:val="批注框文本 Char"/>
    <w:basedOn w:val="13"/>
    <w:link w:val="7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41C0D-8475-4194-A575-82F4FEB56B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6005</Words>
  <Characters>6461</Characters>
  <Lines>54</Lines>
  <Paragraphs>15</Paragraphs>
  <TotalTime>0</TotalTime>
  <ScaleCrop>false</ScaleCrop>
  <LinksUpToDate>false</LinksUpToDate>
  <CharactersWithSpaces>6580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2022-05-20T02:28:00Z</dcterms:created>
  <dc:creator>Windows 用户</dc:creator>
  <cp:lastModifiedBy>星空下工作者</cp:lastModifiedBy>
  <cp:lastPrinted>2022-05-26T01:18:00Z</cp:lastPrinted>
  <dcterms:modified xsi:type="dcterms:W3CDTF">2024-04-26T01:50:50Z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935F5B3C93164F72A80ED545112577C0_12</vt:lpwstr>
  </property>
</Properties>
</file>